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5387C0" w14:textId="77777777" w:rsidR="00627C05" w:rsidRDefault="00000000">
      <w:pPr>
        <w:pStyle w:val="Ttulo1"/>
        <w:pBdr>
          <w:bottom w:val="single" w:sz="4" w:space="1" w:color="F79646"/>
        </w:pBdr>
        <w:ind w:left="0" w:right="-93"/>
        <w:jc w:val="center"/>
        <w:rPr>
          <w:rFonts w:ascii="Century Gothic" w:eastAsia="Century Gothic" w:hAnsi="Century Gothic" w:cs="Century Gothic"/>
          <w:color w:val="FF9900"/>
        </w:rPr>
      </w:pPr>
      <w:r>
        <w:rPr>
          <w:rFonts w:ascii="Century Gothic" w:eastAsia="Century Gothic" w:hAnsi="Century Gothic" w:cs="Century Gothic"/>
          <w:color w:val="F79646"/>
        </w:rPr>
        <w:t xml:space="preserve">CONVOCATORIA PARA INTEGRAR LA TERNA DE PERSONAS ASPIRANTES A OCUPAR EL CARGO DE TITULAR DE LA SECRETARÍA EJECUTIVA DEL SISTEMA </w:t>
      </w:r>
      <w:r>
        <w:rPr>
          <w:rFonts w:ascii="Century Gothic" w:eastAsia="Century Gothic" w:hAnsi="Century Gothic" w:cs="Century Gothic"/>
          <w:color w:val="FF9900"/>
        </w:rPr>
        <w:t>ANTICORRUPCIÓN DEL ESTADO DE QUINTANA ROO</w:t>
      </w:r>
    </w:p>
    <w:p w14:paraId="3A8BBEE5" w14:textId="77777777" w:rsidR="00627C05" w:rsidRDefault="00627C05">
      <w:pPr>
        <w:pBdr>
          <w:top w:val="nil"/>
          <w:left w:val="nil"/>
          <w:bottom w:val="nil"/>
          <w:right w:val="nil"/>
          <w:between w:val="nil"/>
        </w:pBdr>
        <w:ind w:right="-93"/>
        <w:rPr>
          <w:rFonts w:ascii="Century Gothic" w:eastAsia="Century Gothic" w:hAnsi="Century Gothic" w:cs="Century Gothic"/>
          <w:b/>
          <w:color w:val="FF9900"/>
          <w:sz w:val="21"/>
          <w:szCs w:val="21"/>
        </w:rPr>
      </w:pPr>
    </w:p>
    <w:p w14:paraId="1E27317B" w14:textId="77777777" w:rsidR="00627C05" w:rsidRDefault="00627C05">
      <w:pPr>
        <w:pBdr>
          <w:top w:val="nil"/>
          <w:left w:val="nil"/>
          <w:bottom w:val="nil"/>
          <w:right w:val="nil"/>
          <w:between w:val="nil"/>
        </w:pBdr>
        <w:ind w:right="-93"/>
        <w:jc w:val="both"/>
        <w:rPr>
          <w:rFonts w:ascii="Century Gothic" w:eastAsia="Century Gothic" w:hAnsi="Century Gothic" w:cs="Century Gothic"/>
          <w:b/>
          <w:color w:val="000000"/>
          <w:sz w:val="21"/>
          <w:szCs w:val="21"/>
        </w:rPr>
      </w:pPr>
    </w:p>
    <w:p w14:paraId="60A210CD" w14:textId="77777777" w:rsidR="00627C05" w:rsidRDefault="00000000">
      <w:pPr>
        <w:pBdr>
          <w:top w:val="nil"/>
          <w:left w:val="nil"/>
          <w:bottom w:val="nil"/>
          <w:right w:val="nil"/>
          <w:between w:val="nil"/>
        </w:pBdr>
        <w:ind w:right="-93"/>
        <w:jc w:val="both"/>
        <w:rPr>
          <w:rFonts w:ascii="Century Gothic" w:eastAsia="Century Gothic" w:hAnsi="Century Gothic" w:cs="Century Gothic"/>
          <w:b/>
          <w:color w:val="000000"/>
          <w:sz w:val="21"/>
          <w:szCs w:val="21"/>
        </w:rPr>
      </w:pPr>
      <w:r>
        <w:rPr>
          <w:rFonts w:ascii="Century Gothic" w:eastAsia="Century Gothic" w:hAnsi="Century Gothic" w:cs="Century Gothic"/>
          <w:b/>
          <w:color w:val="000000"/>
          <w:sz w:val="21"/>
          <w:szCs w:val="21"/>
        </w:rPr>
        <w:t xml:space="preserve">El Comité de Participación Ciudadana </w:t>
      </w:r>
      <w:r>
        <w:rPr>
          <w:rFonts w:ascii="Century Gothic" w:eastAsia="Century Gothic" w:hAnsi="Century Gothic" w:cs="Century Gothic"/>
          <w:color w:val="000000"/>
          <w:sz w:val="21"/>
          <w:szCs w:val="21"/>
        </w:rPr>
        <w:t xml:space="preserve">(CPC) </w:t>
      </w:r>
      <w:r>
        <w:rPr>
          <w:rFonts w:ascii="Century Gothic" w:eastAsia="Century Gothic" w:hAnsi="Century Gothic" w:cs="Century Gothic"/>
          <w:b/>
          <w:color w:val="000000"/>
          <w:sz w:val="21"/>
          <w:szCs w:val="21"/>
        </w:rPr>
        <w:t xml:space="preserve">del Sistema Anticorrupción del </w:t>
      </w:r>
      <w:r>
        <w:rPr>
          <w:rFonts w:ascii="Century Gothic" w:eastAsia="Century Gothic" w:hAnsi="Century Gothic" w:cs="Century Gothic"/>
          <w:b/>
          <w:sz w:val="21"/>
          <w:szCs w:val="21"/>
        </w:rPr>
        <w:t>E</w:t>
      </w:r>
      <w:r>
        <w:rPr>
          <w:rFonts w:ascii="Century Gothic" w:eastAsia="Century Gothic" w:hAnsi="Century Gothic" w:cs="Century Gothic"/>
          <w:b/>
          <w:color w:val="000000"/>
          <w:sz w:val="21"/>
          <w:szCs w:val="21"/>
        </w:rPr>
        <w:t xml:space="preserve">stado de Quintana Roo </w:t>
      </w:r>
      <w:r>
        <w:rPr>
          <w:rFonts w:ascii="Century Gothic" w:eastAsia="Century Gothic" w:hAnsi="Century Gothic" w:cs="Century Gothic"/>
          <w:color w:val="000000"/>
          <w:sz w:val="21"/>
          <w:szCs w:val="21"/>
        </w:rPr>
        <w:t xml:space="preserve">(SAEQROO), con fundamento en el artículo 161 fracción II de la Constitución Política del </w:t>
      </w:r>
      <w:r>
        <w:rPr>
          <w:rFonts w:ascii="Century Gothic" w:eastAsia="Century Gothic" w:hAnsi="Century Gothic" w:cs="Century Gothic"/>
          <w:sz w:val="21"/>
          <w:szCs w:val="21"/>
        </w:rPr>
        <w:t>Estado Libre y Soberano de Quintana Roo</w:t>
      </w:r>
      <w:r>
        <w:rPr>
          <w:rFonts w:ascii="Century Gothic" w:eastAsia="Century Gothic" w:hAnsi="Century Gothic" w:cs="Century Gothic"/>
          <w:color w:val="000000"/>
          <w:sz w:val="21"/>
          <w:szCs w:val="21"/>
        </w:rPr>
        <w:t xml:space="preserve">, así como en los artículos 3, fracción </w:t>
      </w:r>
      <w:r>
        <w:rPr>
          <w:rFonts w:ascii="Century Gothic" w:eastAsia="Century Gothic" w:hAnsi="Century Gothic" w:cs="Century Gothic"/>
          <w:sz w:val="21"/>
          <w:szCs w:val="21"/>
        </w:rPr>
        <w:t>IV;</w:t>
      </w:r>
      <w:r>
        <w:rPr>
          <w:rFonts w:ascii="Century Gothic" w:eastAsia="Century Gothic" w:hAnsi="Century Gothic" w:cs="Century Gothic"/>
          <w:color w:val="000000"/>
          <w:sz w:val="21"/>
          <w:szCs w:val="21"/>
        </w:rPr>
        <w:t xml:space="preserve"> 12, fracción VI</w:t>
      </w:r>
      <w:r>
        <w:rPr>
          <w:rFonts w:ascii="Century Gothic" w:eastAsia="Century Gothic" w:hAnsi="Century Gothic" w:cs="Century Gothic"/>
          <w:sz w:val="21"/>
          <w:szCs w:val="21"/>
        </w:rPr>
        <w:t>;</w:t>
      </w:r>
      <w:r>
        <w:rPr>
          <w:rFonts w:ascii="Century Gothic" w:eastAsia="Century Gothic" w:hAnsi="Century Gothic" w:cs="Century Gothic"/>
          <w:color w:val="000000"/>
          <w:sz w:val="21"/>
          <w:szCs w:val="21"/>
        </w:rPr>
        <w:t xml:space="preserve"> 15</w:t>
      </w:r>
      <w:r>
        <w:rPr>
          <w:rFonts w:ascii="Century Gothic" w:eastAsia="Century Gothic" w:hAnsi="Century Gothic" w:cs="Century Gothic"/>
          <w:sz w:val="21"/>
          <w:szCs w:val="21"/>
        </w:rPr>
        <w:t>;</w:t>
      </w:r>
      <w:r>
        <w:rPr>
          <w:rFonts w:ascii="Century Gothic" w:eastAsia="Century Gothic" w:hAnsi="Century Gothic" w:cs="Century Gothic"/>
          <w:color w:val="000000"/>
          <w:sz w:val="21"/>
          <w:szCs w:val="21"/>
        </w:rPr>
        <w:t xml:space="preserve"> 16, primer párrafo</w:t>
      </w:r>
      <w:r>
        <w:rPr>
          <w:rFonts w:ascii="Century Gothic" w:eastAsia="Century Gothic" w:hAnsi="Century Gothic" w:cs="Century Gothic"/>
          <w:sz w:val="21"/>
          <w:szCs w:val="21"/>
        </w:rPr>
        <w:t>;</w:t>
      </w:r>
      <w:r>
        <w:rPr>
          <w:rFonts w:ascii="Century Gothic" w:eastAsia="Century Gothic" w:hAnsi="Century Gothic" w:cs="Century Gothic"/>
          <w:color w:val="000000"/>
          <w:sz w:val="21"/>
          <w:szCs w:val="21"/>
        </w:rPr>
        <w:t xml:space="preserve"> 33, párrafos primero y segundo y 34 de la Ley del Sistema Anticorrupción del Estado de Quintana Roo (LSAEQROO)</w:t>
      </w:r>
      <w:r>
        <w:rPr>
          <w:rFonts w:ascii="Century Gothic" w:eastAsia="Century Gothic" w:hAnsi="Century Gothic" w:cs="Century Gothic"/>
          <w:b/>
          <w:color w:val="000000"/>
          <w:sz w:val="21"/>
          <w:szCs w:val="21"/>
        </w:rPr>
        <w:t>;</w:t>
      </w:r>
    </w:p>
    <w:p w14:paraId="446B6F80" w14:textId="77777777" w:rsidR="00627C05" w:rsidRDefault="00627C05">
      <w:pPr>
        <w:pBdr>
          <w:top w:val="nil"/>
          <w:left w:val="nil"/>
          <w:bottom w:val="nil"/>
          <w:right w:val="nil"/>
          <w:between w:val="nil"/>
        </w:pBdr>
        <w:ind w:right="-93"/>
        <w:jc w:val="both"/>
        <w:rPr>
          <w:rFonts w:ascii="Century Gothic" w:eastAsia="Century Gothic" w:hAnsi="Century Gothic" w:cs="Century Gothic"/>
          <w:b/>
          <w:sz w:val="21"/>
          <w:szCs w:val="21"/>
        </w:rPr>
      </w:pPr>
    </w:p>
    <w:p w14:paraId="68A151F9" w14:textId="77777777" w:rsidR="00627C05" w:rsidRDefault="00000000">
      <w:pPr>
        <w:pBdr>
          <w:top w:val="nil"/>
          <w:left w:val="nil"/>
          <w:bottom w:val="nil"/>
          <w:right w:val="nil"/>
          <w:between w:val="nil"/>
        </w:pBdr>
        <w:ind w:right="-93"/>
        <w:jc w:val="center"/>
        <w:rPr>
          <w:rFonts w:ascii="Century Gothic" w:eastAsia="Century Gothic" w:hAnsi="Century Gothic" w:cs="Century Gothic"/>
          <w:b/>
          <w:sz w:val="21"/>
          <w:szCs w:val="21"/>
        </w:rPr>
      </w:pPr>
      <w:r>
        <w:rPr>
          <w:rFonts w:ascii="Century Gothic" w:eastAsia="Century Gothic" w:hAnsi="Century Gothic" w:cs="Century Gothic"/>
          <w:b/>
          <w:sz w:val="21"/>
          <w:szCs w:val="21"/>
        </w:rPr>
        <w:t>CONSIDERANDO</w:t>
      </w:r>
    </w:p>
    <w:p w14:paraId="0FD29A72" w14:textId="77777777" w:rsidR="00627C05" w:rsidRDefault="00000000">
      <w:pPr>
        <w:ind w:right="-93"/>
        <w:jc w:val="both"/>
        <w:rPr>
          <w:rFonts w:ascii="Century Gothic" w:eastAsia="Century Gothic" w:hAnsi="Century Gothic" w:cs="Century Gothic"/>
          <w:sz w:val="18"/>
          <w:szCs w:val="18"/>
        </w:rPr>
      </w:pPr>
      <w:r>
        <w:rPr>
          <w:rFonts w:ascii="Century Gothic" w:eastAsia="Century Gothic" w:hAnsi="Century Gothic" w:cs="Century Gothic"/>
          <w:b/>
          <w:sz w:val="21"/>
          <w:szCs w:val="21"/>
          <w:highlight w:val="white"/>
        </w:rPr>
        <w:t xml:space="preserve">Primero. </w:t>
      </w:r>
      <w:r>
        <w:rPr>
          <w:rFonts w:ascii="Century Gothic" w:eastAsia="Century Gothic" w:hAnsi="Century Gothic" w:cs="Century Gothic"/>
          <w:sz w:val="21"/>
          <w:szCs w:val="21"/>
          <w:highlight w:val="white"/>
        </w:rPr>
        <w:t xml:space="preserve">Que son principios que deberán ser honrados durante el proceso, los establecidos </w:t>
      </w:r>
      <w:r>
        <w:rPr>
          <w:rFonts w:ascii="Century Gothic" w:eastAsia="Century Gothic" w:hAnsi="Century Gothic" w:cs="Century Gothic"/>
          <w:sz w:val="21"/>
          <w:szCs w:val="21"/>
        </w:rPr>
        <w:t>en el decálogo para designaciones públicas del CPC del Sistema Nacional Anticorrupción (SNA), que considera preceptos para valorar el mérito y la idoneidad garantizando legalidad, objetividad, método, consistencia, transparencia y máxima publicidad, igualdad de oportunidades e igualdad de género, con previsiones para evitar conflicto de interés y promover la participación ciudadana  efectiva.</w:t>
      </w:r>
      <w:r>
        <w:rPr>
          <w:rFonts w:ascii="Century Gothic" w:eastAsia="Century Gothic" w:hAnsi="Century Gothic" w:cs="Century Gothic"/>
          <w:sz w:val="21"/>
          <w:szCs w:val="21"/>
          <w:vertAlign w:val="superscript"/>
        </w:rPr>
        <w:footnoteReference w:id="1"/>
      </w:r>
      <w:r>
        <w:rPr>
          <w:rFonts w:ascii="Century Gothic" w:eastAsia="Century Gothic" w:hAnsi="Century Gothic" w:cs="Century Gothic"/>
          <w:sz w:val="21"/>
          <w:szCs w:val="21"/>
        </w:rPr>
        <w:t xml:space="preserve"> Así como los principios establecidos por el Observatorio Ciudadano de los Procesos de Designación de los Servidores Públicos (Observatorio Nacional) integrado por Fundar y Artículo 19, que incluye la difusión de la información completa; la precisión de requisitos para el puesto; el establecimiento de criterios y metodologías claras para evaluar los perfiles; la deliberación pública; la certeza en los plazos y etapas; la valoración exhaustiva de los perfiles; la máxima publicidad; la participación ciudadana; la fundamentación de las decisiones y la consideración de los méritos y capacidades.</w:t>
      </w:r>
      <w:r>
        <w:rPr>
          <w:rFonts w:ascii="Century Gothic" w:eastAsia="Century Gothic" w:hAnsi="Century Gothic" w:cs="Century Gothic"/>
          <w:sz w:val="21"/>
          <w:szCs w:val="21"/>
          <w:vertAlign w:val="superscript"/>
        </w:rPr>
        <w:footnoteReference w:id="2"/>
      </w:r>
      <w:r>
        <w:rPr>
          <w:rFonts w:ascii="Century Gothic" w:eastAsia="Century Gothic" w:hAnsi="Century Gothic" w:cs="Century Gothic"/>
          <w:sz w:val="21"/>
          <w:szCs w:val="21"/>
        </w:rPr>
        <w:t xml:space="preserve"> </w:t>
      </w:r>
    </w:p>
    <w:p w14:paraId="1D7BCADA" w14:textId="77777777" w:rsidR="00627C05" w:rsidRDefault="00627C05"/>
    <w:p w14:paraId="3121D2F4" w14:textId="77777777" w:rsidR="00627C05" w:rsidRDefault="00000000">
      <w:pPr>
        <w:ind w:right="-79"/>
        <w:jc w:val="both"/>
        <w:rPr>
          <w:rFonts w:ascii="Century Gothic" w:eastAsia="Century Gothic" w:hAnsi="Century Gothic" w:cs="Century Gothic"/>
          <w:color w:val="2F2F2F"/>
          <w:sz w:val="21"/>
          <w:szCs w:val="21"/>
          <w:highlight w:val="white"/>
        </w:rPr>
      </w:pPr>
      <w:r>
        <w:rPr>
          <w:rFonts w:ascii="Century Gothic" w:eastAsia="Century Gothic" w:hAnsi="Century Gothic" w:cs="Century Gothic"/>
          <w:b/>
          <w:sz w:val="21"/>
          <w:szCs w:val="21"/>
        </w:rPr>
        <w:t>Segundo.</w:t>
      </w:r>
      <w:r>
        <w:rPr>
          <w:rFonts w:ascii="Century Gothic" w:eastAsia="Century Gothic" w:hAnsi="Century Gothic" w:cs="Century Gothic"/>
          <w:sz w:val="21"/>
          <w:szCs w:val="21"/>
        </w:rPr>
        <w:t xml:space="preserve"> Sobre las medidas de acción afirmativa para garantizar el enfoque integrado de derechos humanos, no discriminación e igualdad de género, se estipula que </w:t>
      </w:r>
      <w:r>
        <w:rPr>
          <w:rFonts w:ascii="Century Gothic" w:eastAsia="Century Gothic" w:hAnsi="Century Gothic" w:cs="Century Gothic"/>
          <w:color w:val="2F2F2F"/>
          <w:sz w:val="21"/>
          <w:szCs w:val="21"/>
          <w:highlight w:val="white"/>
        </w:rPr>
        <w:t xml:space="preserve">la Constitución Política de los Estados Unidos Mexicanos (CPEUM) en el artículo 1 establece que todas las autoridades, en el ámbito de sus competencias, tienen la obligación de promover, respetar, proteger y garantizar los derechos humanos de conformidad con los principios de universalidad, interdependencia, indivisibilidad y progresividad. De la misma forma dispone que todas las personas gozarán de los derechos humanos reconocidos en la Constitución y los tratados internacionales de los que el Estado Mexicano es parte, así como de las garantías para su protección. Asimismo, prohíbe toda discriminación motivada por el origen étnico o nacional, el género, la edad, las discapacidades, la condición social, las condiciones de salud, la religión, las opiniones, </w:t>
      </w:r>
      <w:r>
        <w:rPr>
          <w:rFonts w:ascii="Century Gothic" w:eastAsia="Century Gothic" w:hAnsi="Century Gothic" w:cs="Century Gothic"/>
          <w:color w:val="2F2F2F"/>
          <w:sz w:val="21"/>
          <w:szCs w:val="21"/>
          <w:highlight w:val="white"/>
        </w:rPr>
        <w:lastRenderedPageBreak/>
        <w:t xml:space="preserve">las preferencias sexuales, el estado civil o cualquier otra que atente contra la dignidad humana y tenga por objeto anular o menoscabar los derechos y libertades de las personas. </w:t>
      </w:r>
    </w:p>
    <w:p w14:paraId="79A6B899" w14:textId="77777777" w:rsidR="00627C05" w:rsidRDefault="00000000">
      <w:pPr>
        <w:jc w:val="both"/>
        <w:rPr>
          <w:rFonts w:ascii="Century Gothic" w:eastAsia="Century Gothic" w:hAnsi="Century Gothic" w:cs="Century Gothic"/>
          <w:color w:val="2F2F2F"/>
          <w:sz w:val="21"/>
          <w:szCs w:val="21"/>
          <w:highlight w:val="white"/>
        </w:rPr>
      </w:pPr>
      <w:r>
        <w:rPr>
          <w:rFonts w:ascii="Century Gothic" w:eastAsia="Century Gothic" w:hAnsi="Century Gothic" w:cs="Century Gothic"/>
          <w:color w:val="2F2F2F"/>
          <w:sz w:val="21"/>
          <w:szCs w:val="21"/>
          <w:highlight w:val="white"/>
        </w:rPr>
        <w:t>En el artículo 41, párrafo segundo, señala que la ley determinará las formas y modalidades que correspondan, para observar el principio de paridad de género en los nombramientos de las personas titulares de las secretarías de despacho del Poder Ejecutivo Federal y sus equivalentes en las entidades federativas. En la integración de los organismos autónomos se observará el mismo principio.</w:t>
      </w:r>
    </w:p>
    <w:p w14:paraId="0C04BD3F" w14:textId="77777777" w:rsidR="00627C05" w:rsidRDefault="00000000">
      <w:pPr>
        <w:jc w:val="both"/>
        <w:rPr>
          <w:rFonts w:ascii="Century Gothic" w:eastAsia="Century Gothic" w:hAnsi="Century Gothic" w:cs="Century Gothic"/>
          <w:color w:val="2F2F2F"/>
          <w:sz w:val="21"/>
          <w:szCs w:val="21"/>
          <w:highlight w:val="white"/>
        </w:rPr>
      </w:pPr>
      <w:r>
        <w:rPr>
          <w:rFonts w:ascii="Century Gothic" w:eastAsia="Century Gothic" w:hAnsi="Century Gothic" w:cs="Century Gothic"/>
          <w:color w:val="2F2F2F"/>
          <w:sz w:val="21"/>
          <w:szCs w:val="21"/>
          <w:highlight w:val="white"/>
        </w:rPr>
        <w:t>Por su parte, la Constitución Política del Estado Libre y Soberano de Quintana Roo en el artículo 13 establece que queda prohibida toda discriminación motivada por origen étnico o nacional, el género, la edad, las discapacidades, la condición social, las condiciones de salud, la religión, las opiniones, las preferencias, la condición sexual, el estado civil o cualquier otra que atente contra la dignidad humana y tenga por objeto anular o menoscabar los derechos y libertades de las personas que habitan en este Estado. También señala que el Estado garantiza la igualdad jurídica respecto de sus habitantes sin distinción de origen, sexo, condición o actividad social y que diseñará, promoverá́ y llevará a cabo las acciones y medidas necesarias para garantizar el derecho a la no discriminación.</w:t>
      </w:r>
      <w:r>
        <w:rPr>
          <w:rFonts w:ascii="Century Gothic" w:eastAsia="Century Gothic" w:hAnsi="Century Gothic" w:cs="Century Gothic"/>
          <w:color w:val="2F2F2F"/>
          <w:sz w:val="21"/>
          <w:szCs w:val="21"/>
          <w:highlight w:val="white"/>
        </w:rPr>
        <w:tab/>
      </w:r>
      <w:r>
        <w:rPr>
          <w:rFonts w:ascii="Century Gothic" w:eastAsia="Century Gothic" w:hAnsi="Century Gothic" w:cs="Century Gothic"/>
          <w:color w:val="2F2F2F"/>
          <w:sz w:val="21"/>
          <w:szCs w:val="21"/>
          <w:highlight w:val="white"/>
        </w:rPr>
        <w:tab/>
      </w:r>
      <w:r>
        <w:rPr>
          <w:rFonts w:ascii="Century Gothic" w:eastAsia="Century Gothic" w:hAnsi="Century Gothic" w:cs="Century Gothic"/>
          <w:color w:val="2F2F2F"/>
          <w:sz w:val="21"/>
          <w:szCs w:val="21"/>
          <w:highlight w:val="white"/>
        </w:rPr>
        <w:tab/>
      </w:r>
      <w:r>
        <w:rPr>
          <w:rFonts w:ascii="Century Gothic" w:eastAsia="Century Gothic" w:hAnsi="Century Gothic" w:cs="Century Gothic"/>
          <w:color w:val="2F2F2F"/>
          <w:sz w:val="21"/>
          <w:szCs w:val="21"/>
          <w:highlight w:val="white"/>
        </w:rPr>
        <w:tab/>
      </w:r>
      <w:r>
        <w:rPr>
          <w:rFonts w:ascii="Century Gothic" w:eastAsia="Century Gothic" w:hAnsi="Century Gothic" w:cs="Century Gothic"/>
          <w:color w:val="2F2F2F"/>
          <w:sz w:val="21"/>
          <w:szCs w:val="21"/>
          <w:highlight w:val="white"/>
        </w:rPr>
        <w:tab/>
      </w:r>
    </w:p>
    <w:p w14:paraId="2CDCD083" w14:textId="77777777" w:rsidR="00627C05" w:rsidRDefault="00000000">
      <w:pPr>
        <w:jc w:val="both"/>
        <w:rPr>
          <w:rFonts w:ascii="Century Gothic" w:eastAsia="Century Gothic" w:hAnsi="Century Gothic" w:cs="Century Gothic"/>
          <w:color w:val="2F2F2F"/>
          <w:sz w:val="24"/>
          <w:szCs w:val="24"/>
          <w:highlight w:val="white"/>
        </w:rPr>
      </w:pPr>
      <w:r>
        <w:rPr>
          <w:rFonts w:ascii="Century Gothic" w:eastAsia="Century Gothic" w:hAnsi="Century Gothic" w:cs="Century Gothic"/>
          <w:color w:val="2F2F2F"/>
          <w:sz w:val="21"/>
          <w:szCs w:val="21"/>
          <w:highlight w:val="white"/>
        </w:rPr>
        <w:t xml:space="preserve">La Ley para la Igualdad entre Mujeres y Hombres del Estado de Quintana Roo, en el artículo 12, establece que la igualdad de </w:t>
      </w:r>
      <w:proofErr w:type="gramStart"/>
      <w:r>
        <w:rPr>
          <w:rFonts w:ascii="Century Gothic" w:eastAsia="Century Gothic" w:hAnsi="Century Gothic" w:cs="Century Gothic"/>
          <w:color w:val="2F2F2F"/>
          <w:sz w:val="21"/>
          <w:szCs w:val="21"/>
          <w:highlight w:val="white"/>
        </w:rPr>
        <w:t>oportunidades,</w:t>
      </w:r>
      <w:proofErr w:type="gramEnd"/>
      <w:r>
        <w:rPr>
          <w:rFonts w:ascii="Century Gothic" w:eastAsia="Century Gothic" w:hAnsi="Century Gothic" w:cs="Century Gothic"/>
          <w:color w:val="2F2F2F"/>
          <w:sz w:val="21"/>
          <w:szCs w:val="21"/>
          <w:highlight w:val="white"/>
        </w:rPr>
        <w:t xml:space="preserve"> es el acceso al pleno desarrollo en el ámbito público y privado de las mujeres y los hombres en las mismas condiciones, considerando la necesidad de articular mecanismos especiales que la garanticen, los cuales bajo ninguna circunstancia podrán ser considerados como prácticas discriminatorias.</w:t>
      </w:r>
      <w:r>
        <w:rPr>
          <w:rFonts w:ascii="Century Gothic" w:eastAsia="Century Gothic" w:hAnsi="Century Gothic" w:cs="Century Gothic"/>
          <w:color w:val="2F2F2F"/>
          <w:sz w:val="24"/>
          <w:szCs w:val="24"/>
          <w:highlight w:val="white"/>
        </w:rPr>
        <w:t xml:space="preserve"> </w:t>
      </w:r>
    </w:p>
    <w:p w14:paraId="2E37F507" w14:textId="77777777" w:rsidR="00627C05" w:rsidRDefault="00000000">
      <w:pPr>
        <w:jc w:val="both"/>
        <w:rPr>
          <w:rFonts w:ascii="Century Gothic" w:eastAsia="Century Gothic" w:hAnsi="Century Gothic" w:cs="Century Gothic"/>
          <w:color w:val="2F2F2F"/>
          <w:sz w:val="21"/>
          <w:szCs w:val="21"/>
          <w:highlight w:val="white"/>
        </w:rPr>
      </w:pPr>
      <w:r>
        <w:rPr>
          <w:rFonts w:ascii="Century Gothic" w:eastAsia="Century Gothic" w:hAnsi="Century Gothic" w:cs="Century Gothic"/>
          <w:color w:val="2F2F2F"/>
          <w:sz w:val="21"/>
          <w:szCs w:val="21"/>
          <w:highlight w:val="white"/>
        </w:rPr>
        <w:t xml:space="preserve">En el artículo 15 establece que es el objetivo de la Política Estatal de Igualdad en materia de participación política, garantizar la participación en igualdad de oportunidades, en la toma de decisiones políticas y de gobierno, entre mujeres y hombres y, para ello, en el artículo 16, fracción II dispone que las autoridades desarrollarán acciones para garantizar la participación paritaria de mujeres y hombres en altos cargos públicos, dentro de los Poderes del Estado, gobiernos municipales y órganos autónomos. </w:t>
      </w:r>
    </w:p>
    <w:p w14:paraId="33BFD34D" w14:textId="77777777" w:rsidR="00627C05" w:rsidRDefault="00000000">
      <w:pPr>
        <w:jc w:val="both"/>
        <w:rPr>
          <w:rFonts w:ascii="Century Gothic" w:eastAsia="Century Gothic" w:hAnsi="Century Gothic" w:cs="Century Gothic"/>
          <w:sz w:val="21"/>
          <w:szCs w:val="21"/>
        </w:rPr>
      </w:pPr>
      <w:r>
        <w:rPr>
          <w:rFonts w:ascii="Century Gothic" w:eastAsia="Century Gothic" w:hAnsi="Century Gothic" w:cs="Century Gothic"/>
          <w:color w:val="2F2F2F"/>
          <w:sz w:val="21"/>
          <w:szCs w:val="21"/>
          <w:highlight w:val="white"/>
        </w:rPr>
        <w:t xml:space="preserve">La Ley para Prevenir, Atender y Eliminar la Discriminación en el Estado de Quintana Roo, en su artículo 8 establece que no se considerarán discriminatorias las acciones afirmativas que tengan por efecto promover la igualdad real de oportunidades de las personas o grupos. Tampoco </w:t>
      </w:r>
      <w:proofErr w:type="spellStart"/>
      <w:r>
        <w:rPr>
          <w:rFonts w:ascii="Century Gothic" w:eastAsia="Century Gothic" w:hAnsi="Century Gothic" w:cs="Century Gothic"/>
          <w:color w:val="2F2F2F"/>
          <w:sz w:val="21"/>
          <w:szCs w:val="21"/>
          <w:highlight w:val="white"/>
        </w:rPr>
        <w:t>sera</w:t>
      </w:r>
      <w:proofErr w:type="spellEnd"/>
      <w:r>
        <w:rPr>
          <w:rFonts w:ascii="Century Gothic" w:eastAsia="Century Gothic" w:hAnsi="Century Gothic" w:cs="Century Gothic"/>
          <w:color w:val="2F2F2F"/>
          <w:sz w:val="21"/>
          <w:szCs w:val="21"/>
          <w:highlight w:val="white"/>
        </w:rPr>
        <w:t xml:space="preserve">́ juzgada como discriminatoria la distinción basada en criterios razonables, proporcionales y objetivos cuya finalidad no sea el menoscabo de derechos. </w:t>
      </w:r>
    </w:p>
    <w:p w14:paraId="611A0EEE" w14:textId="77777777" w:rsidR="00627C05" w:rsidRDefault="00627C05">
      <w:pPr>
        <w:jc w:val="both"/>
        <w:rPr>
          <w:rFonts w:ascii="Century Gothic" w:eastAsia="Century Gothic" w:hAnsi="Century Gothic" w:cs="Century Gothic"/>
          <w:color w:val="2F2F2F"/>
          <w:sz w:val="21"/>
          <w:szCs w:val="21"/>
        </w:rPr>
      </w:pPr>
    </w:p>
    <w:p w14:paraId="32FD3521" w14:textId="77777777" w:rsidR="00F825D9" w:rsidRDefault="00F825D9">
      <w:pPr>
        <w:jc w:val="both"/>
        <w:rPr>
          <w:rFonts w:ascii="Century Gothic" w:eastAsia="Century Gothic" w:hAnsi="Century Gothic" w:cs="Century Gothic"/>
          <w:color w:val="2F2F2F"/>
          <w:sz w:val="21"/>
          <w:szCs w:val="21"/>
        </w:rPr>
      </w:pPr>
    </w:p>
    <w:p w14:paraId="17615713" w14:textId="77777777" w:rsidR="00F825D9" w:rsidRDefault="00F825D9">
      <w:pPr>
        <w:jc w:val="both"/>
        <w:rPr>
          <w:rFonts w:ascii="Century Gothic" w:eastAsia="Century Gothic" w:hAnsi="Century Gothic" w:cs="Century Gothic"/>
          <w:color w:val="2F2F2F"/>
          <w:sz w:val="21"/>
          <w:szCs w:val="21"/>
        </w:rPr>
      </w:pPr>
    </w:p>
    <w:p w14:paraId="621D0FCB" w14:textId="77777777" w:rsidR="00F825D9" w:rsidRDefault="00F825D9">
      <w:pPr>
        <w:jc w:val="both"/>
        <w:rPr>
          <w:rFonts w:ascii="Century Gothic" w:eastAsia="Century Gothic" w:hAnsi="Century Gothic" w:cs="Century Gothic"/>
          <w:color w:val="2F2F2F"/>
          <w:sz w:val="21"/>
          <w:szCs w:val="21"/>
        </w:rPr>
      </w:pPr>
    </w:p>
    <w:p w14:paraId="178C5B2C" w14:textId="77777777" w:rsidR="00F825D9" w:rsidRDefault="00F825D9">
      <w:pPr>
        <w:jc w:val="both"/>
        <w:rPr>
          <w:rFonts w:ascii="Century Gothic" w:eastAsia="Century Gothic" w:hAnsi="Century Gothic" w:cs="Century Gothic"/>
          <w:color w:val="2F2F2F"/>
          <w:sz w:val="21"/>
          <w:szCs w:val="21"/>
        </w:rPr>
      </w:pPr>
    </w:p>
    <w:p w14:paraId="4F4656CE" w14:textId="77777777" w:rsidR="00F825D9" w:rsidRDefault="00F825D9">
      <w:pPr>
        <w:jc w:val="both"/>
        <w:rPr>
          <w:rFonts w:ascii="Century Gothic" w:eastAsia="Century Gothic" w:hAnsi="Century Gothic" w:cs="Century Gothic"/>
          <w:color w:val="2F2F2F"/>
          <w:sz w:val="21"/>
          <w:szCs w:val="21"/>
        </w:rPr>
      </w:pPr>
    </w:p>
    <w:p w14:paraId="5023B915" w14:textId="77777777" w:rsidR="00F825D9" w:rsidRDefault="00F825D9">
      <w:pPr>
        <w:jc w:val="both"/>
        <w:rPr>
          <w:rFonts w:ascii="Century Gothic" w:eastAsia="Century Gothic" w:hAnsi="Century Gothic" w:cs="Century Gothic"/>
          <w:color w:val="2F2F2F"/>
          <w:sz w:val="21"/>
          <w:szCs w:val="21"/>
        </w:rPr>
      </w:pPr>
    </w:p>
    <w:p w14:paraId="3FBBB81F" w14:textId="77777777" w:rsidR="00627C05" w:rsidRDefault="00000000">
      <w:pPr>
        <w:jc w:val="both"/>
        <w:rPr>
          <w:rFonts w:ascii="Century Gothic" w:eastAsia="Century Gothic" w:hAnsi="Century Gothic" w:cs="Century Gothic"/>
          <w:color w:val="2F2F2F"/>
          <w:sz w:val="21"/>
          <w:szCs w:val="21"/>
        </w:rPr>
      </w:pPr>
      <w:proofErr w:type="gramStart"/>
      <w:r>
        <w:rPr>
          <w:rFonts w:ascii="Century Gothic" w:eastAsia="Century Gothic" w:hAnsi="Century Gothic" w:cs="Century Gothic"/>
          <w:color w:val="2F2F2F"/>
          <w:sz w:val="21"/>
          <w:szCs w:val="21"/>
        </w:rPr>
        <w:lastRenderedPageBreak/>
        <w:t>En razón de</w:t>
      </w:r>
      <w:proofErr w:type="gramEnd"/>
      <w:r>
        <w:rPr>
          <w:rFonts w:ascii="Century Gothic" w:eastAsia="Century Gothic" w:hAnsi="Century Gothic" w:cs="Century Gothic"/>
          <w:color w:val="2F2F2F"/>
          <w:sz w:val="21"/>
          <w:szCs w:val="21"/>
        </w:rPr>
        <w:t xml:space="preserve"> lo anterior, se emite la siguiente:</w:t>
      </w:r>
    </w:p>
    <w:p w14:paraId="1F935A2D" w14:textId="77777777" w:rsidR="00627C05" w:rsidRDefault="00627C05">
      <w:pPr>
        <w:jc w:val="both"/>
        <w:rPr>
          <w:rFonts w:ascii="Century Gothic" w:eastAsia="Century Gothic" w:hAnsi="Century Gothic" w:cs="Century Gothic"/>
          <w:color w:val="2F2F2F"/>
          <w:sz w:val="21"/>
          <w:szCs w:val="21"/>
        </w:rPr>
      </w:pPr>
    </w:p>
    <w:p w14:paraId="72F72CD0" w14:textId="77777777" w:rsidR="00627C05" w:rsidRDefault="00000000">
      <w:pPr>
        <w:jc w:val="both"/>
        <w:rPr>
          <w:rFonts w:ascii="Century Gothic" w:eastAsia="Century Gothic" w:hAnsi="Century Gothic" w:cs="Century Gothic"/>
          <w:color w:val="2F2F2F"/>
          <w:sz w:val="21"/>
          <w:szCs w:val="21"/>
        </w:rPr>
      </w:pPr>
      <w:r>
        <w:rPr>
          <w:rFonts w:ascii="Century Gothic" w:eastAsia="Century Gothic" w:hAnsi="Century Gothic" w:cs="Century Gothic"/>
          <w:color w:val="2F2F2F"/>
          <w:sz w:val="21"/>
          <w:szCs w:val="21"/>
        </w:rPr>
        <w:t>CONVOCATORIA PÚBLICA Y ABIERTA a través de la cual se</w:t>
      </w:r>
    </w:p>
    <w:p w14:paraId="0F7F17CF" w14:textId="77777777" w:rsidR="00627C05" w:rsidRDefault="00627C05">
      <w:pPr>
        <w:pBdr>
          <w:top w:val="nil"/>
          <w:left w:val="nil"/>
          <w:bottom w:val="nil"/>
          <w:right w:val="nil"/>
          <w:between w:val="nil"/>
        </w:pBdr>
        <w:ind w:right="-93"/>
        <w:rPr>
          <w:rFonts w:ascii="Century Gothic" w:eastAsia="Century Gothic" w:hAnsi="Century Gothic" w:cs="Century Gothic"/>
          <w:b/>
          <w:sz w:val="21"/>
          <w:szCs w:val="21"/>
        </w:rPr>
      </w:pPr>
    </w:p>
    <w:p w14:paraId="393CC709" w14:textId="77777777" w:rsidR="00F825D9" w:rsidRDefault="00F825D9">
      <w:pPr>
        <w:pStyle w:val="Ttulo1"/>
        <w:ind w:left="0" w:right="-93"/>
        <w:jc w:val="center"/>
        <w:rPr>
          <w:rFonts w:ascii="Century Gothic" w:eastAsia="Century Gothic" w:hAnsi="Century Gothic" w:cs="Century Gothic"/>
          <w:sz w:val="21"/>
          <w:szCs w:val="21"/>
        </w:rPr>
      </w:pPr>
    </w:p>
    <w:p w14:paraId="19C11793" w14:textId="595BFE6F" w:rsidR="00627C05" w:rsidRDefault="00000000">
      <w:pPr>
        <w:pStyle w:val="Ttulo1"/>
        <w:ind w:left="0" w:right="-93"/>
        <w:jc w:val="center"/>
        <w:rPr>
          <w:rFonts w:ascii="Century Gothic" w:eastAsia="Century Gothic" w:hAnsi="Century Gothic" w:cs="Century Gothic"/>
          <w:sz w:val="21"/>
          <w:szCs w:val="21"/>
        </w:rPr>
      </w:pPr>
      <w:r>
        <w:rPr>
          <w:rFonts w:ascii="Century Gothic" w:eastAsia="Century Gothic" w:hAnsi="Century Gothic" w:cs="Century Gothic"/>
          <w:sz w:val="21"/>
          <w:szCs w:val="21"/>
        </w:rPr>
        <w:t>CONVOCA</w:t>
      </w:r>
    </w:p>
    <w:p w14:paraId="1FB21ECC" w14:textId="77777777" w:rsidR="00627C05" w:rsidRDefault="00627C05">
      <w:pPr>
        <w:pBdr>
          <w:top w:val="nil"/>
          <w:left w:val="nil"/>
          <w:bottom w:val="nil"/>
          <w:right w:val="nil"/>
          <w:between w:val="nil"/>
        </w:pBdr>
        <w:ind w:right="-93"/>
        <w:rPr>
          <w:rFonts w:ascii="Century Gothic" w:eastAsia="Century Gothic" w:hAnsi="Century Gothic" w:cs="Century Gothic"/>
          <w:b/>
          <w:color w:val="000000"/>
          <w:sz w:val="21"/>
          <w:szCs w:val="21"/>
        </w:rPr>
      </w:pPr>
    </w:p>
    <w:p w14:paraId="0F543B06" w14:textId="77777777" w:rsidR="00627C05" w:rsidRDefault="00000000">
      <w:pPr>
        <w:pBdr>
          <w:top w:val="nil"/>
          <w:left w:val="nil"/>
          <w:bottom w:val="nil"/>
          <w:right w:val="nil"/>
          <w:between w:val="nil"/>
        </w:pBdr>
        <w:ind w:right="-93"/>
        <w:jc w:val="both"/>
        <w:rPr>
          <w:rFonts w:ascii="Century Gothic" w:eastAsia="Century Gothic" w:hAnsi="Century Gothic" w:cs="Century Gothic"/>
          <w:color w:val="000000"/>
          <w:sz w:val="21"/>
          <w:szCs w:val="21"/>
        </w:rPr>
      </w:pPr>
      <w:r>
        <w:rPr>
          <w:rFonts w:ascii="Century Gothic" w:eastAsia="Century Gothic" w:hAnsi="Century Gothic" w:cs="Century Gothic"/>
          <w:color w:val="000000"/>
          <w:sz w:val="21"/>
          <w:szCs w:val="21"/>
        </w:rPr>
        <w:t xml:space="preserve">A la sociedad quintanarroense para que, a título personal o a través de sus instituciones, asociaciones, organizaciones públicas, privadas, sociales, académicas, empresariales, profesionales, comunidades y/o sus instituciones, postulen a </w:t>
      </w:r>
      <w:proofErr w:type="gramStart"/>
      <w:r>
        <w:rPr>
          <w:rFonts w:ascii="Century Gothic" w:eastAsia="Century Gothic" w:hAnsi="Century Gothic" w:cs="Century Gothic"/>
          <w:color w:val="000000"/>
          <w:sz w:val="21"/>
          <w:szCs w:val="21"/>
        </w:rPr>
        <w:t>ciudadanas y ciudadanos</w:t>
      </w:r>
      <w:proofErr w:type="gramEnd"/>
      <w:r>
        <w:rPr>
          <w:rFonts w:ascii="Century Gothic" w:eastAsia="Century Gothic" w:hAnsi="Century Gothic" w:cs="Century Gothic"/>
          <w:color w:val="000000"/>
          <w:sz w:val="21"/>
          <w:szCs w:val="21"/>
        </w:rPr>
        <w:t xml:space="preserve"> mexicanos para integrar:</w:t>
      </w:r>
    </w:p>
    <w:p w14:paraId="2D691086" w14:textId="77777777" w:rsidR="00627C05" w:rsidRDefault="00627C05">
      <w:pPr>
        <w:pBdr>
          <w:top w:val="nil"/>
          <w:left w:val="nil"/>
          <w:bottom w:val="nil"/>
          <w:right w:val="nil"/>
          <w:between w:val="nil"/>
        </w:pBdr>
        <w:ind w:right="-93"/>
        <w:rPr>
          <w:rFonts w:ascii="Century Gothic" w:eastAsia="Century Gothic" w:hAnsi="Century Gothic" w:cs="Century Gothic"/>
          <w:color w:val="000000"/>
          <w:sz w:val="21"/>
          <w:szCs w:val="21"/>
        </w:rPr>
      </w:pPr>
    </w:p>
    <w:p w14:paraId="32ABB920" w14:textId="77777777" w:rsidR="00627C05" w:rsidRDefault="00000000">
      <w:pPr>
        <w:pStyle w:val="Ttulo1"/>
        <w:ind w:left="0" w:right="-93"/>
        <w:rPr>
          <w:rFonts w:ascii="Century Gothic" w:eastAsia="Century Gothic" w:hAnsi="Century Gothic" w:cs="Century Gothic"/>
          <w:sz w:val="21"/>
          <w:szCs w:val="21"/>
        </w:rPr>
      </w:pPr>
      <w:r>
        <w:rPr>
          <w:rFonts w:ascii="Century Gothic" w:eastAsia="Century Gothic" w:hAnsi="Century Gothic" w:cs="Century Gothic"/>
          <w:sz w:val="21"/>
          <w:szCs w:val="21"/>
        </w:rPr>
        <w:t>LA TERNA DE PERSONAS ASPIRANTES A OCUPAR EL CARGO DE TITULAR DE LA SECRETARÍA EJECUTIVA DEL SISTEMA ANTICORRUPCIÓN DEL ESTADO DE QUINTANA ROO QUE, POR CONDUCTO DE SU PRESIDENCIA, SOMETERÁ A CONSIDERACIÓN DEL ÓRGANO DE GOBIERNO DE LA SECRETARÍA EJECUTIVA DEL SISTEMA ANTICORRUPCIÓN DEL ESTADO DE QUINTANA ROO.</w:t>
      </w:r>
    </w:p>
    <w:p w14:paraId="00E9CF4E" w14:textId="77777777" w:rsidR="00627C05" w:rsidRDefault="00627C05">
      <w:pPr>
        <w:pBdr>
          <w:top w:val="nil"/>
          <w:left w:val="nil"/>
          <w:bottom w:val="nil"/>
          <w:right w:val="nil"/>
          <w:between w:val="nil"/>
        </w:pBdr>
        <w:ind w:right="-93"/>
        <w:rPr>
          <w:rFonts w:ascii="Century Gothic" w:eastAsia="Century Gothic" w:hAnsi="Century Gothic" w:cs="Century Gothic"/>
          <w:b/>
          <w:color w:val="000000"/>
          <w:sz w:val="21"/>
          <w:szCs w:val="21"/>
        </w:rPr>
      </w:pPr>
    </w:p>
    <w:p w14:paraId="24C28C2D" w14:textId="77777777" w:rsidR="00627C05" w:rsidRDefault="00000000">
      <w:pPr>
        <w:pBdr>
          <w:top w:val="nil"/>
          <w:left w:val="nil"/>
          <w:bottom w:val="nil"/>
          <w:right w:val="nil"/>
          <w:between w:val="nil"/>
        </w:pBdr>
        <w:ind w:right="-93"/>
        <w:jc w:val="both"/>
        <w:rPr>
          <w:rFonts w:ascii="Century Gothic" w:eastAsia="Century Gothic" w:hAnsi="Century Gothic" w:cs="Century Gothic"/>
          <w:sz w:val="21"/>
          <w:szCs w:val="21"/>
        </w:rPr>
      </w:pPr>
      <w:r>
        <w:rPr>
          <w:rFonts w:ascii="Century Gothic" w:eastAsia="Century Gothic" w:hAnsi="Century Gothic" w:cs="Century Gothic"/>
          <w:color w:val="000000"/>
          <w:sz w:val="21"/>
          <w:szCs w:val="21"/>
        </w:rPr>
        <w:t>El proceso de selección de la terna se realizará conforme a las siguientes:</w:t>
      </w:r>
    </w:p>
    <w:p w14:paraId="56884D99" w14:textId="77777777" w:rsidR="00627C05" w:rsidRDefault="00627C05">
      <w:pPr>
        <w:pBdr>
          <w:top w:val="nil"/>
          <w:left w:val="nil"/>
          <w:bottom w:val="nil"/>
          <w:right w:val="nil"/>
          <w:between w:val="nil"/>
        </w:pBdr>
        <w:ind w:right="-93"/>
        <w:jc w:val="both"/>
        <w:rPr>
          <w:rFonts w:ascii="Century Gothic" w:eastAsia="Century Gothic" w:hAnsi="Century Gothic" w:cs="Century Gothic"/>
          <w:sz w:val="21"/>
          <w:szCs w:val="21"/>
        </w:rPr>
      </w:pPr>
    </w:p>
    <w:p w14:paraId="5118E4BE" w14:textId="77777777" w:rsidR="00F825D9" w:rsidRDefault="00F825D9">
      <w:pPr>
        <w:pBdr>
          <w:top w:val="nil"/>
          <w:left w:val="nil"/>
          <w:bottom w:val="nil"/>
          <w:right w:val="nil"/>
          <w:between w:val="nil"/>
        </w:pBdr>
        <w:ind w:right="-93"/>
        <w:jc w:val="both"/>
        <w:rPr>
          <w:rFonts w:ascii="Century Gothic" w:eastAsia="Century Gothic" w:hAnsi="Century Gothic" w:cs="Century Gothic"/>
          <w:sz w:val="21"/>
          <w:szCs w:val="21"/>
        </w:rPr>
      </w:pPr>
    </w:p>
    <w:p w14:paraId="4615D537" w14:textId="77777777" w:rsidR="00627C05" w:rsidRDefault="00000000">
      <w:pPr>
        <w:pBdr>
          <w:top w:val="nil"/>
          <w:left w:val="nil"/>
          <w:bottom w:val="nil"/>
          <w:right w:val="nil"/>
          <w:between w:val="nil"/>
        </w:pBdr>
        <w:ind w:right="-93"/>
        <w:jc w:val="center"/>
      </w:pPr>
      <w:r>
        <w:rPr>
          <w:rFonts w:ascii="Century Gothic" w:eastAsia="Century Gothic" w:hAnsi="Century Gothic" w:cs="Century Gothic"/>
          <w:b/>
          <w:color w:val="000000"/>
          <w:sz w:val="21"/>
          <w:szCs w:val="21"/>
        </w:rPr>
        <w:t>BASES</w:t>
      </w:r>
    </w:p>
    <w:p w14:paraId="4EA16D0E" w14:textId="77777777" w:rsidR="00627C05" w:rsidRDefault="00627C05">
      <w:pPr>
        <w:pStyle w:val="Ttulo1"/>
        <w:ind w:left="0" w:right="-93"/>
        <w:rPr>
          <w:rFonts w:ascii="Century Gothic" w:eastAsia="Century Gothic" w:hAnsi="Century Gothic" w:cs="Century Gothic"/>
          <w:color w:val="000000"/>
          <w:sz w:val="21"/>
          <w:szCs w:val="21"/>
        </w:rPr>
      </w:pPr>
    </w:p>
    <w:p w14:paraId="21E19644" w14:textId="77777777" w:rsidR="00627C05" w:rsidRDefault="00000000">
      <w:pPr>
        <w:pStyle w:val="Ttulo1"/>
        <w:ind w:left="0" w:right="-93"/>
        <w:rPr>
          <w:rFonts w:ascii="Century Gothic" w:eastAsia="Century Gothic" w:hAnsi="Century Gothic" w:cs="Century Gothic"/>
          <w:sz w:val="21"/>
          <w:szCs w:val="21"/>
        </w:rPr>
      </w:pPr>
      <w:r>
        <w:rPr>
          <w:rFonts w:ascii="Century Gothic" w:eastAsia="Century Gothic" w:hAnsi="Century Gothic" w:cs="Century Gothic"/>
          <w:sz w:val="21"/>
          <w:szCs w:val="21"/>
        </w:rPr>
        <w:t>PRIMERA. Elegibilidad en los términos del artículo 34 de la Ley del Sistema Anticorrupción del Estado de Quintana Roo.</w:t>
      </w:r>
    </w:p>
    <w:p w14:paraId="664E82EC" w14:textId="77777777" w:rsidR="00627C05" w:rsidRDefault="00000000">
      <w:pPr>
        <w:pBdr>
          <w:top w:val="nil"/>
          <w:left w:val="nil"/>
          <w:bottom w:val="nil"/>
          <w:right w:val="nil"/>
          <w:between w:val="nil"/>
        </w:pBdr>
        <w:ind w:right="-93"/>
        <w:rPr>
          <w:rFonts w:ascii="Century Gothic" w:eastAsia="Century Gothic" w:hAnsi="Century Gothic" w:cs="Century Gothic"/>
          <w:color w:val="000000"/>
          <w:sz w:val="21"/>
          <w:szCs w:val="21"/>
        </w:rPr>
      </w:pPr>
      <w:r>
        <w:rPr>
          <w:rFonts w:ascii="Century Gothic" w:eastAsia="Century Gothic" w:hAnsi="Century Gothic" w:cs="Century Gothic"/>
          <w:color w:val="000000"/>
          <w:sz w:val="21"/>
          <w:szCs w:val="21"/>
        </w:rPr>
        <w:t>Las y los aspirantes, deberán de cumplir con los siguientes requisitos:</w:t>
      </w:r>
    </w:p>
    <w:p w14:paraId="6D0177DD" w14:textId="77777777" w:rsidR="00627C05" w:rsidRDefault="00000000">
      <w:pPr>
        <w:widowControl/>
        <w:numPr>
          <w:ilvl w:val="0"/>
          <w:numId w:val="3"/>
        </w:numPr>
        <w:pBdr>
          <w:top w:val="nil"/>
          <w:left w:val="nil"/>
          <w:bottom w:val="nil"/>
          <w:right w:val="nil"/>
          <w:between w:val="nil"/>
        </w:pBdr>
        <w:ind w:right="-93"/>
        <w:jc w:val="both"/>
        <w:rPr>
          <w:rFonts w:ascii="Century Gothic" w:eastAsia="Century Gothic" w:hAnsi="Century Gothic" w:cs="Century Gothic"/>
          <w:color w:val="000000"/>
          <w:sz w:val="21"/>
          <w:szCs w:val="21"/>
        </w:rPr>
      </w:pPr>
      <w:r>
        <w:rPr>
          <w:rFonts w:ascii="Century Gothic" w:eastAsia="Century Gothic" w:hAnsi="Century Gothic" w:cs="Century Gothic"/>
          <w:color w:val="000000"/>
          <w:sz w:val="21"/>
          <w:szCs w:val="21"/>
        </w:rPr>
        <w:t xml:space="preserve">Ser ciudadana o ciudadano mexicano, en pleno goce y ejercicio de sus derechos civiles; </w:t>
      </w:r>
    </w:p>
    <w:p w14:paraId="6C605B35" w14:textId="77777777" w:rsidR="00627C05" w:rsidRDefault="00000000">
      <w:pPr>
        <w:widowControl/>
        <w:numPr>
          <w:ilvl w:val="0"/>
          <w:numId w:val="3"/>
        </w:numPr>
        <w:pBdr>
          <w:top w:val="nil"/>
          <w:left w:val="nil"/>
          <w:bottom w:val="nil"/>
          <w:right w:val="nil"/>
          <w:between w:val="nil"/>
        </w:pBdr>
        <w:ind w:right="-93"/>
        <w:jc w:val="both"/>
        <w:rPr>
          <w:rFonts w:ascii="Century Gothic" w:eastAsia="Century Gothic" w:hAnsi="Century Gothic" w:cs="Century Gothic"/>
          <w:color w:val="000000"/>
          <w:sz w:val="21"/>
          <w:szCs w:val="21"/>
        </w:rPr>
      </w:pPr>
      <w:r>
        <w:rPr>
          <w:rFonts w:ascii="Century Gothic" w:eastAsia="Century Gothic" w:hAnsi="Century Gothic" w:cs="Century Gothic"/>
          <w:color w:val="000000"/>
          <w:sz w:val="21"/>
          <w:szCs w:val="21"/>
        </w:rPr>
        <w:t xml:space="preserve">Contar con una residencia no menor de cinco </w:t>
      </w:r>
      <w:proofErr w:type="spellStart"/>
      <w:r>
        <w:rPr>
          <w:rFonts w:ascii="Century Gothic" w:eastAsia="Century Gothic" w:hAnsi="Century Gothic" w:cs="Century Gothic"/>
          <w:color w:val="000000"/>
          <w:sz w:val="21"/>
          <w:szCs w:val="21"/>
        </w:rPr>
        <w:t>años</w:t>
      </w:r>
      <w:proofErr w:type="spellEnd"/>
      <w:r>
        <w:rPr>
          <w:rFonts w:ascii="Century Gothic" w:eastAsia="Century Gothic" w:hAnsi="Century Gothic" w:cs="Century Gothic"/>
          <w:color w:val="000000"/>
          <w:sz w:val="21"/>
          <w:szCs w:val="21"/>
        </w:rPr>
        <w:t xml:space="preserve"> en el </w:t>
      </w:r>
      <w:r>
        <w:rPr>
          <w:rFonts w:ascii="Century Gothic" w:eastAsia="Century Gothic" w:hAnsi="Century Gothic" w:cs="Century Gothic"/>
          <w:sz w:val="21"/>
          <w:szCs w:val="21"/>
        </w:rPr>
        <w:t>e</w:t>
      </w:r>
      <w:r>
        <w:rPr>
          <w:rFonts w:ascii="Century Gothic" w:eastAsia="Century Gothic" w:hAnsi="Century Gothic" w:cs="Century Gothic"/>
          <w:color w:val="000000"/>
          <w:sz w:val="21"/>
          <w:szCs w:val="21"/>
        </w:rPr>
        <w:t xml:space="preserve">stado de Quintana Roo anteriores a la </w:t>
      </w:r>
      <w:proofErr w:type="spellStart"/>
      <w:r>
        <w:rPr>
          <w:rFonts w:ascii="Century Gothic" w:eastAsia="Century Gothic" w:hAnsi="Century Gothic" w:cs="Century Gothic"/>
          <w:color w:val="000000"/>
          <w:sz w:val="21"/>
          <w:szCs w:val="21"/>
        </w:rPr>
        <w:t>designación</w:t>
      </w:r>
      <w:proofErr w:type="spellEnd"/>
      <w:r>
        <w:rPr>
          <w:rFonts w:ascii="Century Gothic" w:eastAsia="Century Gothic" w:hAnsi="Century Gothic" w:cs="Century Gothic"/>
          <w:color w:val="000000"/>
          <w:sz w:val="21"/>
          <w:szCs w:val="21"/>
        </w:rPr>
        <w:t xml:space="preserve">; </w:t>
      </w:r>
    </w:p>
    <w:p w14:paraId="4797FF42" w14:textId="77777777" w:rsidR="00627C05" w:rsidRDefault="00000000">
      <w:pPr>
        <w:widowControl/>
        <w:numPr>
          <w:ilvl w:val="0"/>
          <w:numId w:val="3"/>
        </w:numPr>
        <w:pBdr>
          <w:top w:val="nil"/>
          <w:left w:val="nil"/>
          <w:bottom w:val="nil"/>
          <w:right w:val="nil"/>
          <w:between w:val="nil"/>
        </w:pBdr>
        <w:ind w:right="-93"/>
        <w:jc w:val="both"/>
        <w:rPr>
          <w:rFonts w:ascii="Century Gothic" w:eastAsia="Century Gothic" w:hAnsi="Century Gothic" w:cs="Century Gothic"/>
          <w:color w:val="000000"/>
          <w:sz w:val="21"/>
          <w:szCs w:val="21"/>
        </w:rPr>
      </w:pPr>
      <w:r>
        <w:rPr>
          <w:rFonts w:ascii="Century Gothic" w:eastAsia="Century Gothic" w:hAnsi="Century Gothic" w:cs="Century Gothic"/>
          <w:color w:val="000000"/>
          <w:sz w:val="21"/>
          <w:szCs w:val="21"/>
        </w:rPr>
        <w:t xml:space="preserve">Experiencia verificable de al menos cinco </w:t>
      </w:r>
      <w:proofErr w:type="spellStart"/>
      <w:r>
        <w:rPr>
          <w:rFonts w:ascii="Century Gothic" w:eastAsia="Century Gothic" w:hAnsi="Century Gothic" w:cs="Century Gothic"/>
          <w:color w:val="000000"/>
          <w:sz w:val="21"/>
          <w:szCs w:val="21"/>
        </w:rPr>
        <w:t>años</w:t>
      </w:r>
      <w:proofErr w:type="spellEnd"/>
      <w:r>
        <w:rPr>
          <w:rFonts w:ascii="Century Gothic" w:eastAsia="Century Gothic" w:hAnsi="Century Gothic" w:cs="Century Gothic"/>
          <w:color w:val="000000"/>
          <w:sz w:val="21"/>
          <w:szCs w:val="21"/>
        </w:rPr>
        <w:t xml:space="preserve"> en materias de transparencia, </w:t>
      </w:r>
      <w:proofErr w:type="spellStart"/>
      <w:r>
        <w:rPr>
          <w:rFonts w:ascii="Century Gothic" w:eastAsia="Century Gothic" w:hAnsi="Century Gothic" w:cs="Century Gothic"/>
          <w:color w:val="000000"/>
          <w:sz w:val="21"/>
          <w:szCs w:val="21"/>
        </w:rPr>
        <w:t>evaluación</w:t>
      </w:r>
      <w:proofErr w:type="spellEnd"/>
      <w:r>
        <w:rPr>
          <w:rFonts w:ascii="Century Gothic" w:eastAsia="Century Gothic" w:hAnsi="Century Gothic" w:cs="Century Gothic"/>
          <w:color w:val="000000"/>
          <w:sz w:val="21"/>
          <w:szCs w:val="21"/>
        </w:rPr>
        <w:t xml:space="preserve">, </w:t>
      </w:r>
      <w:proofErr w:type="spellStart"/>
      <w:r>
        <w:rPr>
          <w:rFonts w:ascii="Century Gothic" w:eastAsia="Century Gothic" w:hAnsi="Century Gothic" w:cs="Century Gothic"/>
          <w:color w:val="000000"/>
          <w:sz w:val="21"/>
          <w:szCs w:val="21"/>
        </w:rPr>
        <w:t>fiscalización</w:t>
      </w:r>
      <w:proofErr w:type="spellEnd"/>
      <w:r>
        <w:rPr>
          <w:rFonts w:ascii="Century Gothic" w:eastAsia="Century Gothic" w:hAnsi="Century Gothic" w:cs="Century Gothic"/>
          <w:color w:val="000000"/>
          <w:sz w:val="21"/>
          <w:szCs w:val="21"/>
        </w:rPr>
        <w:t xml:space="preserve">, </w:t>
      </w:r>
      <w:proofErr w:type="spellStart"/>
      <w:r>
        <w:rPr>
          <w:rFonts w:ascii="Century Gothic" w:eastAsia="Century Gothic" w:hAnsi="Century Gothic" w:cs="Century Gothic"/>
          <w:color w:val="000000"/>
          <w:sz w:val="21"/>
          <w:szCs w:val="21"/>
        </w:rPr>
        <w:t>rendición</w:t>
      </w:r>
      <w:proofErr w:type="spellEnd"/>
      <w:r>
        <w:rPr>
          <w:rFonts w:ascii="Century Gothic" w:eastAsia="Century Gothic" w:hAnsi="Century Gothic" w:cs="Century Gothic"/>
          <w:color w:val="000000"/>
          <w:sz w:val="21"/>
          <w:szCs w:val="21"/>
        </w:rPr>
        <w:t xml:space="preserve"> de cuentas o combate a la </w:t>
      </w:r>
      <w:proofErr w:type="spellStart"/>
      <w:r>
        <w:rPr>
          <w:rFonts w:ascii="Century Gothic" w:eastAsia="Century Gothic" w:hAnsi="Century Gothic" w:cs="Century Gothic"/>
          <w:color w:val="000000"/>
          <w:sz w:val="21"/>
          <w:szCs w:val="21"/>
        </w:rPr>
        <w:t>corrupción</w:t>
      </w:r>
      <w:proofErr w:type="spellEnd"/>
      <w:r>
        <w:rPr>
          <w:rFonts w:ascii="Century Gothic" w:eastAsia="Century Gothic" w:hAnsi="Century Gothic" w:cs="Century Gothic"/>
          <w:color w:val="000000"/>
          <w:sz w:val="21"/>
          <w:szCs w:val="21"/>
        </w:rPr>
        <w:t xml:space="preserve">; </w:t>
      </w:r>
    </w:p>
    <w:p w14:paraId="2D285C52" w14:textId="77777777" w:rsidR="00627C05" w:rsidRDefault="00000000">
      <w:pPr>
        <w:widowControl/>
        <w:numPr>
          <w:ilvl w:val="0"/>
          <w:numId w:val="3"/>
        </w:numPr>
        <w:pBdr>
          <w:top w:val="nil"/>
          <w:left w:val="nil"/>
          <w:bottom w:val="nil"/>
          <w:right w:val="nil"/>
          <w:between w:val="nil"/>
        </w:pBdr>
        <w:ind w:right="-93"/>
        <w:jc w:val="both"/>
        <w:rPr>
          <w:rFonts w:ascii="Century Gothic" w:eastAsia="Century Gothic" w:hAnsi="Century Gothic" w:cs="Century Gothic"/>
          <w:color w:val="000000"/>
          <w:sz w:val="21"/>
          <w:szCs w:val="21"/>
        </w:rPr>
      </w:pPr>
      <w:r>
        <w:rPr>
          <w:rFonts w:ascii="Century Gothic" w:eastAsia="Century Gothic" w:hAnsi="Century Gothic" w:cs="Century Gothic"/>
          <w:color w:val="000000"/>
          <w:sz w:val="21"/>
          <w:szCs w:val="21"/>
        </w:rPr>
        <w:t xml:space="preserve">Tener </w:t>
      </w:r>
      <w:proofErr w:type="spellStart"/>
      <w:r>
        <w:rPr>
          <w:rFonts w:ascii="Century Gothic" w:eastAsia="Century Gothic" w:hAnsi="Century Gothic" w:cs="Century Gothic"/>
          <w:color w:val="000000"/>
          <w:sz w:val="21"/>
          <w:szCs w:val="21"/>
        </w:rPr>
        <w:t>más</w:t>
      </w:r>
      <w:proofErr w:type="spellEnd"/>
      <w:r>
        <w:rPr>
          <w:rFonts w:ascii="Century Gothic" w:eastAsia="Century Gothic" w:hAnsi="Century Gothic" w:cs="Century Gothic"/>
          <w:color w:val="000000"/>
          <w:sz w:val="21"/>
          <w:szCs w:val="21"/>
        </w:rPr>
        <w:t xml:space="preserve"> de treinta </w:t>
      </w:r>
      <w:proofErr w:type="spellStart"/>
      <w:r>
        <w:rPr>
          <w:rFonts w:ascii="Century Gothic" w:eastAsia="Century Gothic" w:hAnsi="Century Gothic" w:cs="Century Gothic"/>
          <w:color w:val="000000"/>
          <w:sz w:val="21"/>
          <w:szCs w:val="21"/>
        </w:rPr>
        <w:t>años</w:t>
      </w:r>
      <w:proofErr w:type="spellEnd"/>
      <w:r>
        <w:rPr>
          <w:rFonts w:ascii="Century Gothic" w:eastAsia="Century Gothic" w:hAnsi="Century Gothic" w:cs="Century Gothic"/>
          <w:color w:val="000000"/>
          <w:sz w:val="21"/>
          <w:szCs w:val="21"/>
        </w:rPr>
        <w:t xml:space="preserve"> de edad, al </w:t>
      </w:r>
      <w:proofErr w:type="spellStart"/>
      <w:r>
        <w:rPr>
          <w:rFonts w:ascii="Century Gothic" w:eastAsia="Century Gothic" w:hAnsi="Century Gothic" w:cs="Century Gothic"/>
          <w:color w:val="000000"/>
          <w:sz w:val="21"/>
          <w:szCs w:val="21"/>
        </w:rPr>
        <w:t>día</w:t>
      </w:r>
      <w:proofErr w:type="spellEnd"/>
      <w:r>
        <w:rPr>
          <w:rFonts w:ascii="Century Gothic" w:eastAsia="Century Gothic" w:hAnsi="Century Gothic" w:cs="Century Gothic"/>
          <w:color w:val="000000"/>
          <w:sz w:val="21"/>
          <w:szCs w:val="21"/>
        </w:rPr>
        <w:t xml:space="preserve"> de la </w:t>
      </w:r>
      <w:proofErr w:type="spellStart"/>
      <w:r>
        <w:rPr>
          <w:rFonts w:ascii="Century Gothic" w:eastAsia="Century Gothic" w:hAnsi="Century Gothic" w:cs="Century Gothic"/>
          <w:color w:val="000000"/>
          <w:sz w:val="21"/>
          <w:szCs w:val="21"/>
        </w:rPr>
        <w:t>designación</w:t>
      </w:r>
      <w:proofErr w:type="spellEnd"/>
      <w:r>
        <w:rPr>
          <w:rFonts w:ascii="Century Gothic" w:eastAsia="Century Gothic" w:hAnsi="Century Gothic" w:cs="Century Gothic"/>
          <w:color w:val="000000"/>
          <w:sz w:val="21"/>
          <w:szCs w:val="21"/>
        </w:rPr>
        <w:t xml:space="preserve">; </w:t>
      </w:r>
    </w:p>
    <w:p w14:paraId="006A8B5D" w14:textId="77777777" w:rsidR="00627C05" w:rsidRDefault="00000000">
      <w:pPr>
        <w:widowControl/>
        <w:numPr>
          <w:ilvl w:val="0"/>
          <w:numId w:val="3"/>
        </w:numPr>
        <w:pBdr>
          <w:top w:val="nil"/>
          <w:left w:val="nil"/>
          <w:bottom w:val="nil"/>
          <w:right w:val="nil"/>
          <w:between w:val="nil"/>
        </w:pBdr>
        <w:ind w:right="-93"/>
        <w:jc w:val="both"/>
        <w:rPr>
          <w:rFonts w:ascii="Century Gothic" w:eastAsia="Century Gothic" w:hAnsi="Century Gothic" w:cs="Century Gothic"/>
          <w:color w:val="000000"/>
          <w:sz w:val="21"/>
          <w:szCs w:val="21"/>
        </w:rPr>
      </w:pPr>
      <w:r>
        <w:rPr>
          <w:rFonts w:ascii="Century Gothic" w:eastAsia="Century Gothic" w:hAnsi="Century Gothic" w:cs="Century Gothic"/>
          <w:color w:val="000000"/>
          <w:sz w:val="21"/>
          <w:szCs w:val="21"/>
        </w:rPr>
        <w:t xml:space="preserve">Poseer al </w:t>
      </w:r>
      <w:proofErr w:type="spellStart"/>
      <w:r>
        <w:rPr>
          <w:rFonts w:ascii="Century Gothic" w:eastAsia="Century Gothic" w:hAnsi="Century Gothic" w:cs="Century Gothic"/>
          <w:color w:val="000000"/>
          <w:sz w:val="21"/>
          <w:szCs w:val="21"/>
        </w:rPr>
        <w:t>día</w:t>
      </w:r>
      <w:proofErr w:type="spellEnd"/>
      <w:r>
        <w:rPr>
          <w:rFonts w:ascii="Century Gothic" w:eastAsia="Century Gothic" w:hAnsi="Century Gothic" w:cs="Century Gothic"/>
          <w:color w:val="000000"/>
          <w:sz w:val="21"/>
          <w:szCs w:val="21"/>
        </w:rPr>
        <w:t xml:space="preserve"> de la </w:t>
      </w:r>
      <w:proofErr w:type="spellStart"/>
      <w:r>
        <w:rPr>
          <w:rFonts w:ascii="Century Gothic" w:eastAsia="Century Gothic" w:hAnsi="Century Gothic" w:cs="Century Gothic"/>
          <w:color w:val="000000"/>
          <w:sz w:val="21"/>
          <w:szCs w:val="21"/>
        </w:rPr>
        <w:t>designación</w:t>
      </w:r>
      <w:proofErr w:type="spellEnd"/>
      <w:r>
        <w:rPr>
          <w:rFonts w:ascii="Century Gothic" w:eastAsia="Century Gothic" w:hAnsi="Century Gothic" w:cs="Century Gothic"/>
          <w:color w:val="000000"/>
          <w:sz w:val="21"/>
          <w:szCs w:val="21"/>
        </w:rPr>
        <w:t xml:space="preserve">, una </w:t>
      </w:r>
      <w:proofErr w:type="spellStart"/>
      <w:r>
        <w:rPr>
          <w:rFonts w:ascii="Century Gothic" w:eastAsia="Century Gothic" w:hAnsi="Century Gothic" w:cs="Century Gothic"/>
          <w:color w:val="000000"/>
          <w:sz w:val="21"/>
          <w:szCs w:val="21"/>
        </w:rPr>
        <w:t>antigu</w:t>
      </w:r>
      <w:r>
        <w:rPr>
          <w:rFonts w:ascii="Arial" w:eastAsia="Arial" w:hAnsi="Arial" w:cs="Arial"/>
          <w:color w:val="000000"/>
          <w:sz w:val="21"/>
          <w:szCs w:val="21"/>
        </w:rPr>
        <w:t>̈</w:t>
      </w:r>
      <w:r>
        <w:rPr>
          <w:rFonts w:ascii="Century Gothic" w:eastAsia="Century Gothic" w:hAnsi="Century Gothic" w:cs="Century Gothic"/>
          <w:color w:val="000000"/>
          <w:sz w:val="21"/>
          <w:szCs w:val="21"/>
        </w:rPr>
        <w:t>edad</w:t>
      </w:r>
      <w:proofErr w:type="spellEnd"/>
      <w:r>
        <w:rPr>
          <w:rFonts w:ascii="Century Gothic" w:eastAsia="Century Gothic" w:hAnsi="Century Gothic" w:cs="Century Gothic"/>
          <w:color w:val="000000"/>
          <w:sz w:val="21"/>
          <w:szCs w:val="21"/>
        </w:rPr>
        <w:t xml:space="preserve"> </w:t>
      </w:r>
      <w:proofErr w:type="spellStart"/>
      <w:r>
        <w:rPr>
          <w:rFonts w:ascii="Century Gothic" w:eastAsia="Century Gothic" w:hAnsi="Century Gothic" w:cs="Century Gothic"/>
          <w:color w:val="000000"/>
          <w:sz w:val="21"/>
          <w:szCs w:val="21"/>
        </w:rPr>
        <w:t>mínima</w:t>
      </w:r>
      <w:proofErr w:type="spellEnd"/>
      <w:r>
        <w:rPr>
          <w:rFonts w:ascii="Century Gothic" w:eastAsia="Century Gothic" w:hAnsi="Century Gothic" w:cs="Century Gothic"/>
          <w:color w:val="000000"/>
          <w:sz w:val="21"/>
          <w:szCs w:val="21"/>
        </w:rPr>
        <w:t xml:space="preserve"> de cinco </w:t>
      </w:r>
      <w:proofErr w:type="spellStart"/>
      <w:r>
        <w:rPr>
          <w:rFonts w:ascii="Century Gothic" w:eastAsia="Century Gothic" w:hAnsi="Century Gothic" w:cs="Century Gothic"/>
          <w:color w:val="000000"/>
          <w:sz w:val="21"/>
          <w:szCs w:val="21"/>
        </w:rPr>
        <w:t>años</w:t>
      </w:r>
      <w:proofErr w:type="spellEnd"/>
      <w:r>
        <w:rPr>
          <w:rFonts w:ascii="Century Gothic" w:eastAsia="Century Gothic" w:hAnsi="Century Gothic" w:cs="Century Gothic"/>
          <w:color w:val="000000"/>
          <w:sz w:val="21"/>
          <w:szCs w:val="21"/>
        </w:rPr>
        <w:t xml:space="preserve"> con </w:t>
      </w:r>
      <w:proofErr w:type="spellStart"/>
      <w:r>
        <w:rPr>
          <w:rFonts w:ascii="Century Gothic" w:eastAsia="Century Gothic" w:hAnsi="Century Gothic" w:cs="Century Gothic"/>
          <w:color w:val="000000"/>
          <w:sz w:val="21"/>
          <w:szCs w:val="21"/>
        </w:rPr>
        <w:t>título</w:t>
      </w:r>
      <w:proofErr w:type="spellEnd"/>
      <w:r>
        <w:rPr>
          <w:rFonts w:ascii="Century Gothic" w:eastAsia="Century Gothic" w:hAnsi="Century Gothic" w:cs="Century Gothic"/>
          <w:color w:val="000000"/>
          <w:sz w:val="21"/>
          <w:szCs w:val="21"/>
        </w:rPr>
        <w:t xml:space="preserve"> profesional de nivel licenciatura y contar con los conocimientos y experiencia relacionadas con la materia de esta Ley que le permitan el </w:t>
      </w:r>
      <w:proofErr w:type="spellStart"/>
      <w:r>
        <w:rPr>
          <w:rFonts w:ascii="Century Gothic" w:eastAsia="Century Gothic" w:hAnsi="Century Gothic" w:cs="Century Gothic"/>
          <w:color w:val="000000"/>
          <w:sz w:val="21"/>
          <w:szCs w:val="21"/>
        </w:rPr>
        <w:t>desempeño</w:t>
      </w:r>
      <w:proofErr w:type="spellEnd"/>
      <w:r>
        <w:rPr>
          <w:rFonts w:ascii="Century Gothic" w:eastAsia="Century Gothic" w:hAnsi="Century Gothic" w:cs="Century Gothic"/>
          <w:color w:val="000000"/>
          <w:sz w:val="21"/>
          <w:szCs w:val="21"/>
        </w:rPr>
        <w:t xml:space="preserve"> de sus funciones; </w:t>
      </w:r>
    </w:p>
    <w:p w14:paraId="12710C89" w14:textId="77777777" w:rsidR="00627C05" w:rsidRDefault="00000000">
      <w:pPr>
        <w:widowControl/>
        <w:numPr>
          <w:ilvl w:val="0"/>
          <w:numId w:val="3"/>
        </w:numPr>
        <w:pBdr>
          <w:top w:val="nil"/>
          <w:left w:val="nil"/>
          <w:bottom w:val="nil"/>
          <w:right w:val="nil"/>
          <w:between w:val="nil"/>
        </w:pBdr>
        <w:ind w:right="-93"/>
        <w:jc w:val="both"/>
        <w:rPr>
          <w:rFonts w:ascii="Century Gothic" w:eastAsia="Century Gothic" w:hAnsi="Century Gothic" w:cs="Century Gothic"/>
          <w:color w:val="000000"/>
          <w:sz w:val="21"/>
          <w:szCs w:val="21"/>
        </w:rPr>
      </w:pPr>
      <w:r>
        <w:rPr>
          <w:rFonts w:ascii="Century Gothic" w:eastAsia="Century Gothic" w:hAnsi="Century Gothic" w:cs="Century Gothic"/>
          <w:color w:val="000000"/>
          <w:sz w:val="21"/>
          <w:szCs w:val="21"/>
        </w:rPr>
        <w:t xml:space="preserve">Gozar de buena </w:t>
      </w:r>
      <w:proofErr w:type="spellStart"/>
      <w:r>
        <w:rPr>
          <w:rFonts w:ascii="Century Gothic" w:eastAsia="Century Gothic" w:hAnsi="Century Gothic" w:cs="Century Gothic"/>
          <w:color w:val="000000"/>
          <w:sz w:val="21"/>
          <w:szCs w:val="21"/>
        </w:rPr>
        <w:t>reputación</w:t>
      </w:r>
      <w:proofErr w:type="spellEnd"/>
      <w:r>
        <w:rPr>
          <w:rFonts w:ascii="Century Gothic" w:eastAsia="Century Gothic" w:hAnsi="Century Gothic" w:cs="Century Gothic"/>
          <w:color w:val="000000"/>
          <w:sz w:val="21"/>
          <w:szCs w:val="21"/>
        </w:rPr>
        <w:t xml:space="preserve"> y no haber sido condenado por </w:t>
      </w:r>
      <w:proofErr w:type="spellStart"/>
      <w:r>
        <w:rPr>
          <w:rFonts w:ascii="Century Gothic" w:eastAsia="Century Gothic" w:hAnsi="Century Gothic" w:cs="Century Gothic"/>
          <w:color w:val="000000"/>
          <w:sz w:val="21"/>
          <w:szCs w:val="21"/>
        </w:rPr>
        <w:t>algún</w:t>
      </w:r>
      <w:proofErr w:type="spellEnd"/>
      <w:r>
        <w:rPr>
          <w:rFonts w:ascii="Century Gothic" w:eastAsia="Century Gothic" w:hAnsi="Century Gothic" w:cs="Century Gothic"/>
          <w:color w:val="000000"/>
          <w:sz w:val="21"/>
          <w:szCs w:val="21"/>
        </w:rPr>
        <w:t xml:space="preserve"> delito;</w:t>
      </w:r>
    </w:p>
    <w:p w14:paraId="15FA9B85" w14:textId="77777777" w:rsidR="00627C05" w:rsidRDefault="00000000">
      <w:pPr>
        <w:widowControl/>
        <w:numPr>
          <w:ilvl w:val="0"/>
          <w:numId w:val="3"/>
        </w:numPr>
        <w:pBdr>
          <w:top w:val="nil"/>
          <w:left w:val="nil"/>
          <w:bottom w:val="nil"/>
          <w:right w:val="nil"/>
          <w:between w:val="nil"/>
        </w:pBdr>
        <w:ind w:right="-93"/>
        <w:jc w:val="both"/>
        <w:rPr>
          <w:rFonts w:ascii="Century Gothic" w:eastAsia="Century Gothic" w:hAnsi="Century Gothic" w:cs="Century Gothic"/>
          <w:color w:val="000000"/>
          <w:sz w:val="21"/>
          <w:szCs w:val="21"/>
        </w:rPr>
      </w:pPr>
      <w:r>
        <w:rPr>
          <w:rFonts w:ascii="Century Gothic" w:eastAsia="Century Gothic" w:hAnsi="Century Gothic" w:cs="Century Gothic"/>
          <w:color w:val="000000"/>
          <w:sz w:val="21"/>
          <w:szCs w:val="21"/>
        </w:rPr>
        <w:t xml:space="preserve">Presentar sus declaraciones de intereses, patrimonial y fiscal, de forma previa a su nombramiento; </w:t>
      </w:r>
    </w:p>
    <w:p w14:paraId="4A2D01B0" w14:textId="77777777" w:rsidR="00627C05" w:rsidRDefault="00000000">
      <w:pPr>
        <w:widowControl/>
        <w:numPr>
          <w:ilvl w:val="0"/>
          <w:numId w:val="3"/>
        </w:numPr>
        <w:pBdr>
          <w:top w:val="nil"/>
          <w:left w:val="nil"/>
          <w:bottom w:val="nil"/>
          <w:right w:val="nil"/>
          <w:between w:val="nil"/>
        </w:pBdr>
        <w:ind w:right="-93"/>
        <w:jc w:val="both"/>
        <w:rPr>
          <w:rFonts w:ascii="Century Gothic" w:eastAsia="Century Gothic" w:hAnsi="Century Gothic" w:cs="Century Gothic"/>
          <w:color w:val="000000"/>
          <w:sz w:val="21"/>
          <w:szCs w:val="21"/>
        </w:rPr>
      </w:pPr>
      <w:r>
        <w:rPr>
          <w:rFonts w:ascii="Century Gothic" w:eastAsia="Century Gothic" w:hAnsi="Century Gothic" w:cs="Century Gothic"/>
          <w:color w:val="000000"/>
          <w:sz w:val="21"/>
          <w:szCs w:val="21"/>
        </w:rPr>
        <w:t xml:space="preserve">Presentar carta compromiso expresando que, en el caso de ser designado, una vez que inicie el periodo no ocupará otro empleo, cargo o </w:t>
      </w:r>
      <w:proofErr w:type="spellStart"/>
      <w:r>
        <w:rPr>
          <w:rFonts w:ascii="Century Gothic" w:eastAsia="Century Gothic" w:hAnsi="Century Gothic" w:cs="Century Gothic"/>
          <w:color w:val="000000"/>
          <w:sz w:val="21"/>
          <w:szCs w:val="21"/>
        </w:rPr>
        <w:t>comisión</w:t>
      </w:r>
      <w:proofErr w:type="spellEnd"/>
      <w:r>
        <w:rPr>
          <w:rFonts w:ascii="Century Gothic" w:eastAsia="Century Gothic" w:hAnsi="Century Gothic" w:cs="Century Gothic"/>
          <w:color w:val="000000"/>
          <w:sz w:val="21"/>
          <w:szCs w:val="21"/>
        </w:rPr>
        <w:t xml:space="preserve"> de cualquier naturaleza, en los gobiernos federal, estatal o municipal, ni cualquier otro empleo </w:t>
      </w:r>
      <w:r>
        <w:rPr>
          <w:rFonts w:ascii="Century Gothic" w:eastAsia="Century Gothic" w:hAnsi="Century Gothic" w:cs="Century Gothic"/>
          <w:color w:val="000000"/>
          <w:sz w:val="21"/>
          <w:szCs w:val="21"/>
        </w:rPr>
        <w:lastRenderedPageBreak/>
        <w:t xml:space="preserve">y/o actividad que les impida y/o limite el ejercicio de sus funciones, a </w:t>
      </w:r>
      <w:proofErr w:type="spellStart"/>
      <w:r>
        <w:rPr>
          <w:rFonts w:ascii="Century Gothic" w:eastAsia="Century Gothic" w:hAnsi="Century Gothic" w:cs="Century Gothic"/>
          <w:color w:val="000000"/>
          <w:sz w:val="21"/>
          <w:szCs w:val="21"/>
        </w:rPr>
        <w:t>excepción</w:t>
      </w:r>
      <w:proofErr w:type="spellEnd"/>
      <w:r>
        <w:rPr>
          <w:rFonts w:ascii="Century Gothic" w:eastAsia="Century Gothic" w:hAnsi="Century Gothic" w:cs="Century Gothic"/>
          <w:color w:val="000000"/>
          <w:sz w:val="21"/>
          <w:szCs w:val="21"/>
        </w:rPr>
        <w:t xml:space="preserve"> de la docencia; </w:t>
      </w:r>
    </w:p>
    <w:p w14:paraId="3BA6A041" w14:textId="77777777" w:rsidR="00627C05" w:rsidRDefault="00000000">
      <w:pPr>
        <w:widowControl/>
        <w:numPr>
          <w:ilvl w:val="0"/>
          <w:numId w:val="3"/>
        </w:numPr>
        <w:pBdr>
          <w:top w:val="nil"/>
          <w:left w:val="nil"/>
          <w:bottom w:val="nil"/>
          <w:right w:val="nil"/>
          <w:between w:val="nil"/>
        </w:pBdr>
        <w:ind w:right="-93"/>
        <w:jc w:val="both"/>
        <w:rPr>
          <w:rFonts w:ascii="Century Gothic" w:eastAsia="Century Gothic" w:hAnsi="Century Gothic" w:cs="Century Gothic"/>
          <w:color w:val="000000"/>
          <w:sz w:val="21"/>
          <w:szCs w:val="21"/>
        </w:rPr>
      </w:pPr>
      <w:r>
        <w:rPr>
          <w:rFonts w:ascii="Century Gothic" w:eastAsia="Century Gothic" w:hAnsi="Century Gothic" w:cs="Century Gothic"/>
          <w:color w:val="000000"/>
          <w:sz w:val="21"/>
          <w:szCs w:val="21"/>
        </w:rPr>
        <w:t xml:space="preserve">No haber sido registrado como candidato, ni haber </w:t>
      </w:r>
      <w:proofErr w:type="spellStart"/>
      <w:r>
        <w:rPr>
          <w:rFonts w:ascii="Century Gothic" w:eastAsia="Century Gothic" w:hAnsi="Century Gothic" w:cs="Century Gothic"/>
          <w:color w:val="000000"/>
          <w:sz w:val="21"/>
          <w:szCs w:val="21"/>
        </w:rPr>
        <w:t>desempeñado</w:t>
      </w:r>
      <w:proofErr w:type="spellEnd"/>
      <w:r>
        <w:rPr>
          <w:rFonts w:ascii="Century Gothic" w:eastAsia="Century Gothic" w:hAnsi="Century Gothic" w:cs="Century Gothic"/>
          <w:color w:val="000000"/>
          <w:sz w:val="21"/>
          <w:szCs w:val="21"/>
        </w:rPr>
        <w:t xml:space="preserve"> cargo alguno de </w:t>
      </w:r>
      <w:proofErr w:type="spellStart"/>
      <w:r>
        <w:rPr>
          <w:rFonts w:ascii="Century Gothic" w:eastAsia="Century Gothic" w:hAnsi="Century Gothic" w:cs="Century Gothic"/>
          <w:color w:val="000000"/>
          <w:sz w:val="21"/>
          <w:szCs w:val="21"/>
        </w:rPr>
        <w:t>elección</w:t>
      </w:r>
      <w:proofErr w:type="spellEnd"/>
      <w:r>
        <w:rPr>
          <w:rFonts w:ascii="Century Gothic" w:eastAsia="Century Gothic" w:hAnsi="Century Gothic" w:cs="Century Gothic"/>
          <w:color w:val="000000"/>
          <w:sz w:val="21"/>
          <w:szCs w:val="21"/>
        </w:rPr>
        <w:t xml:space="preserve"> popular en los </w:t>
      </w:r>
      <w:proofErr w:type="spellStart"/>
      <w:r>
        <w:rPr>
          <w:rFonts w:ascii="Century Gothic" w:eastAsia="Century Gothic" w:hAnsi="Century Gothic" w:cs="Century Gothic"/>
          <w:color w:val="000000"/>
          <w:sz w:val="21"/>
          <w:szCs w:val="21"/>
        </w:rPr>
        <w:t>últimos</w:t>
      </w:r>
      <w:proofErr w:type="spellEnd"/>
      <w:r>
        <w:rPr>
          <w:rFonts w:ascii="Century Gothic" w:eastAsia="Century Gothic" w:hAnsi="Century Gothic" w:cs="Century Gothic"/>
          <w:color w:val="000000"/>
          <w:sz w:val="21"/>
          <w:szCs w:val="21"/>
        </w:rPr>
        <w:t xml:space="preserve"> cuatro </w:t>
      </w:r>
      <w:proofErr w:type="spellStart"/>
      <w:r>
        <w:rPr>
          <w:rFonts w:ascii="Century Gothic" w:eastAsia="Century Gothic" w:hAnsi="Century Gothic" w:cs="Century Gothic"/>
          <w:color w:val="000000"/>
          <w:sz w:val="21"/>
          <w:szCs w:val="21"/>
        </w:rPr>
        <w:t>años</w:t>
      </w:r>
      <w:proofErr w:type="spellEnd"/>
      <w:r>
        <w:rPr>
          <w:rFonts w:ascii="Century Gothic" w:eastAsia="Century Gothic" w:hAnsi="Century Gothic" w:cs="Century Gothic"/>
          <w:color w:val="000000"/>
          <w:sz w:val="21"/>
          <w:szCs w:val="21"/>
        </w:rPr>
        <w:t xml:space="preserve"> anteriores a la </w:t>
      </w:r>
      <w:proofErr w:type="spellStart"/>
      <w:r>
        <w:rPr>
          <w:rFonts w:ascii="Century Gothic" w:eastAsia="Century Gothic" w:hAnsi="Century Gothic" w:cs="Century Gothic"/>
          <w:color w:val="000000"/>
          <w:sz w:val="21"/>
          <w:szCs w:val="21"/>
        </w:rPr>
        <w:t>designación</w:t>
      </w:r>
      <w:proofErr w:type="spellEnd"/>
      <w:r>
        <w:rPr>
          <w:rFonts w:ascii="Century Gothic" w:eastAsia="Century Gothic" w:hAnsi="Century Gothic" w:cs="Century Gothic"/>
          <w:color w:val="000000"/>
          <w:sz w:val="21"/>
          <w:szCs w:val="21"/>
        </w:rPr>
        <w:t xml:space="preserve">; </w:t>
      </w:r>
    </w:p>
    <w:p w14:paraId="025EC192" w14:textId="77777777" w:rsidR="00627C05" w:rsidRDefault="00000000">
      <w:pPr>
        <w:widowControl/>
        <w:numPr>
          <w:ilvl w:val="0"/>
          <w:numId w:val="3"/>
        </w:numPr>
        <w:pBdr>
          <w:top w:val="nil"/>
          <w:left w:val="nil"/>
          <w:bottom w:val="nil"/>
          <w:right w:val="nil"/>
          <w:between w:val="nil"/>
        </w:pBdr>
        <w:ind w:right="-93"/>
        <w:jc w:val="both"/>
        <w:rPr>
          <w:rFonts w:ascii="Century Gothic" w:eastAsia="Century Gothic" w:hAnsi="Century Gothic" w:cs="Century Gothic"/>
          <w:color w:val="000000"/>
          <w:sz w:val="21"/>
          <w:szCs w:val="21"/>
        </w:rPr>
      </w:pPr>
      <w:r>
        <w:rPr>
          <w:rFonts w:ascii="Century Gothic" w:eastAsia="Century Gothic" w:hAnsi="Century Gothic" w:cs="Century Gothic"/>
          <w:color w:val="000000"/>
          <w:sz w:val="21"/>
          <w:szCs w:val="21"/>
        </w:rPr>
        <w:t xml:space="preserve">No ser titular de una dependencia o entidad del Estado, </w:t>
      </w:r>
      <w:proofErr w:type="gramStart"/>
      <w:r>
        <w:rPr>
          <w:rFonts w:ascii="Century Gothic" w:eastAsia="Century Gothic" w:hAnsi="Century Gothic" w:cs="Century Gothic"/>
          <w:color w:val="000000"/>
          <w:sz w:val="21"/>
          <w:szCs w:val="21"/>
        </w:rPr>
        <w:t>Fiscal General</w:t>
      </w:r>
      <w:proofErr w:type="gramEnd"/>
      <w:r>
        <w:rPr>
          <w:rFonts w:ascii="Century Gothic" w:eastAsia="Century Gothic" w:hAnsi="Century Gothic" w:cs="Century Gothic"/>
          <w:color w:val="000000"/>
          <w:sz w:val="21"/>
          <w:szCs w:val="21"/>
        </w:rPr>
        <w:t xml:space="preserve"> del Estado, Subsecretario, Gobernador, Secretario de Gobierno, Consejero de la Judicatura a menos que se haya separado de su cargo un </w:t>
      </w:r>
      <w:proofErr w:type="spellStart"/>
      <w:r>
        <w:rPr>
          <w:rFonts w:ascii="Century Gothic" w:eastAsia="Century Gothic" w:hAnsi="Century Gothic" w:cs="Century Gothic"/>
          <w:color w:val="000000"/>
          <w:sz w:val="21"/>
          <w:szCs w:val="21"/>
        </w:rPr>
        <w:t>año</w:t>
      </w:r>
      <w:proofErr w:type="spellEnd"/>
      <w:r>
        <w:rPr>
          <w:rFonts w:ascii="Century Gothic" w:eastAsia="Century Gothic" w:hAnsi="Century Gothic" w:cs="Century Gothic"/>
          <w:color w:val="000000"/>
          <w:sz w:val="21"/>
          <w:szCs w:val="21"/>
        </w:rPr>
        <w:t xml:space="preserve"> antes del </w:t>
      </w:r>
      <w:proofErr w:type="spellStart"/>
      <w:r>
        <w:rPr>
          <w:rFonts w:ascii="Century Gothic" w:eastAsia="Century Gothic" w:hAnsi="Century Gothic" w:cs="Century Gothic"/>
          <w:color w:val="000000"/>
          <w:sz w:val="21"/>
          <w:szCs w:val="21"/>
        </w:rPr>
        <w:t>día</w:t>
      </w:r>
      <w:proofErr w:type="spellEnd"/>
      <w:r>
        <w:rPr>
          <w:rFonts w:ascii="Century Gothic" w:eastAsia="Century Gothic" w:hAnsi="Century Gothic" w:cs="Century Gothic"/>
          <w:color w:val="000000"/>
          <w:sz w:val="21"/>
          <w:szCs w:val="21"/>
        </w:rPr>
        <w:t xml:space="preserve"> de su </w:t>
      </w:r>
      <w:proofErr w:type="spellStart"/>
      <w:r>
        <w:rPr>
          <w:rFonts w:ascii="Century Gothic" w:eastAsia="Century Gothic" w:hAnsi="Century Gothic" w:cs="Century Gothic"/>
          <w:color w:val="000000"/>
          <w:sz w:val="21"/>
          <w:szCs w:val="21"/>
        </w:rPr>
        <w:t>designación</w:t>
      </w:r>
      <w:proofErr w:type="spellEnd"/>
      <w:r>
        <w:rPr>
          <w:rFonts w:ascii="Century Gothic" w:eastAsia="Century Gothic" w:hAnsi="Century Gothic" w:cs="Century Gothic"/>
          <w:color w:val="000000"/>
          <w:sz w:val="21"/>
          <w:szCs w:val="21"/>
        </w:rPr>
        <w:t>.</w:t>
      </w:r>
    </w:p>
    <w:p w14:paraId="0834BD5B" w14:textId="77777777" w:rsidR="00627C05" w:rsidRDefault="00000000">
      <w:pPr>
        <w:widowControl/>
        <w:numPr>
          <w:ilvl w:val="0"/>
          <w:numId w:val="3"/>
        </w:numPr>
        <w:pBdr>
          <w:top w:val="nil"/>
          <w:left w:val="nil"/>
          <w:bottom w:val="nil"/>
          <w:right w:val="nil"/>
          <w:between w:val="nil"/>
        </w:pBdr>
        <w:ind w:right="-93"/>
        <w:jc w:val="both"/>
        <w:rPr>
          <w:rFonts w:ascii="Century Gothic" w:eastAsia="Century Gothic" w:hAnsi="Century Gothic" w:cs="Century Gothic"/>
          <w:color w:val="000000"/>
          <w:sz w:val="21"/>
          <w:szCs w:val="21"/>
        </w:rPr>
      </w:pPr>
      <w:r>
        <w:rPr>
          <w:rFonts w:ascii="Century Gothic" w:eastAsia="Century Gothic" w:hAnsi="Century Gothic" w:cs="Century Gothic"/>
          <w:color w:val="000000"/>
          <w:sz w:val="21"/>
          <w:szCs w:val="21"/>
        </w:rPr>
        <w:t xml:space="preserve">No haber sido miembro, adherente o afiliado a </w:t>
      </w:r>
      <w:proofErr w:type="spellStart"/>
      <w:r>
        <w:rPr>
          <w:rFonts w:ascii="Century Gothic" w:eastAsia="Century Gothic" w:hAnsi="Century Gothic" w:cs="Century Gothic"/>
          <w:color w:val="000000"/>
          <w:sz w:val="21"/>
          <w:szCs w:val="21"/>
        </w:rPr>
        <w:t>algún</w:t>
      </w:r>
      <w:proofErr w:type="spellEnd"/>
      <w:r>
        <w:rPr>
          <w:rFonts w:ascii="Century Gothic" w:eastAsia="Century Gothic" w:hAnsi="Century Gothic" w:cs="Century Gothic"/>
          <w:color w:val="000000"/>
          <w:sz w:val="21"/>
          <w:szCs w:val="21"/>
        </w:rPr>
        <w:t xml:space="preserve"> partido </w:t>
      </w:r>
      <w:proofErr w:type="spellStart"/>
      <w:r>
        <w:rPr>
          <w:rFonts w:ascii="Century Gothic" w:eastAsia="Century Gothic" w:hAnsi="Century Gothic" w:cs="Century Gothic"/>
          <w:color w:val="000000"/>
          <w:sz w:val="21"/>
          <w:szCs w:val="21"/>
        </w:rPr>
        <w:t>político</w:t>
      </w:r>
      <w:proofErr w:type="spellEnd"/>
      <w:r>
        <w:rPr>
          <w:rFonts w:ascii="Century Gothic" w:eastAsia="Century Gothic" w:hAnsi="Century Gothic" w:cs="Century Gothic"/>
          <w:color w:val="000000"/>
          <w:sz w:val="21"/>
          <w:szCs w:val="21"/>
        </w:rPr>
        <w:t xml:space="preserve">, durante los cuatro </w:t>
      </w:r>
      <w:proofErr w:type="spellStart"/>
      <w:r>
        <w:rPr>
          <w:rFonts w:ascii="Century Gothic" w:eastAsia="Century Gothic" w:hAnsi="Century Gothic" w:cs="Century Gothic"/>
          <w:color w:val="000000"/>
          <w:sz w:val="21"/>
          <w:szCs w:val="21"/>
        </w:rPr>
        <w:t>años</w:t>
      </w:r>
      <w:proofErr w:type="spellEnd"/>
      <w:r>
        <w:rPr>
          <w:rFonts w:ascii="Century Gothic" w:eastAsia="Century Gothic" w:hAnsi="Century Gothic" w:cs="Century Gothic"/>
          <w:color w:val="000000"/>
          <w:sz w:val="21"/>
          <w:szCs w:val="21"/>
        </w:rPr>
        <w:t xml:space="preserve"> anteriores a la fecha de </w:t>
      </w:r>
      <w:proofErr w:type="spellStart"/>
      <w:r>
        <w:rPr>
          <w:rFonts w:ascii="Century Gothic" w:eastAsia="Century Gothic" w:hAnsi="Century Gothic" w:cs="Century Gothic"/>
          <w:color w:val="000000"/>
          <w:sz w:val="21"/>
          <w:szCs w:val="21"/>
        </w:rPr>
        <w:t>emisión</w:t>
      </w:r>
      <w:proofErr w:type="spellEnd"/>
      <w:r>
        <w:rPr>
          <w:rFonts w:ascii="Century Gothic" w:eastAsia="Century Gothic" w:hAnsi="Century Gothic" w:cs="Century Gothic"/>
          <w:color w:val="000000"/>
          <w:sz w:val="21"/>
          <w:szCs w:val="21"/>
        </w:rPr>
        <w:t xml:space="preserve"> de la convocatoria, y </w:t>
      </w:r>
    </w:p>
    <w:p w14:paraId="6A511231" w14:textId="77777777" w:rsidR="00627C05" w:rsidRDefault="00000000">
      <w:pPr>
        <w:widowControl/>
        <w:numPr>
          <w:ilvl w:val="0"/>
          <w:numId w:val="3"/>
        </w:numPr>
        <w:pBdr>
          <w:top w:val="nil"/>
          <w:left w:val="nil"/>
          <w:bottom w:val="nil"/>
          <w:right w:val="nil"/>
          <w:between w:val="nil"/>
        </w:pBdr>
        <w:ind w:right="-93"/>
        <w:jc w:val="both"/>
        <w:rPr>
          <w:rFonts w:ascii="Century Gothic" w:eastAsia="Century Gothic" w:hAnsi="Century Gothic" w:cs="Century Gothic"/>
          <w:color w:val="000000"/>
          <w:sz w:val="21"/>
          <w:szCs w:val="21"/>
        </w:rPr>
      </w:pPr>
      <w:r>
        <w:rPr>
          <w:rFonts w:ascii="Century Gothic" w:eastAsia="Century Gothic" w:hAnsi="Century Gothic" w:cs="Century Gothic"/>
          <w:color w:val="000000"/>
          <w:sz w:val="21"/>
          <w:szCs w:val="21"/>
        </w:rPr>
        <w:t xml:space="preserve">No ser titular de una dependencia o entidad del Estado, </w:t>
      </w:r>
      <w:proofErr w:type="gramStart"/>
      <w:r>
        <w:rPr>
          <w:rFonts w:ascii="Century Gothic" w:eastAsia="Century Gothic" w:hAnsi="Century Gothic" w:cs="Century Gothic"/>
          <w:color w:val="000000"/>
          <w:sz w:val="21"/>
          <w:szCs w:val="21"/>
        </w:rPr>
        <w:t>Fiscal General</w:t>
      </w:r>
      <w:proofErr w:type="gramEnd"/>
      <w:r>
        <w:rPr>
          <w:rFonts w:ascii="Century Gothic" w:eastAsia="Century Gothic" w:hAnsi="Century Gothic" w:cs="Century Gothic"/>
          <w:color w:val="000000"/>
          <w:sz w:val="21"/>
          <w:szCs w:val="21"/>
        </w:rPr>
        <w:t xml:space="preserve"> del Estado, Subsecretario, Oficial Mayor, Gobernador, Secretario de Gobierno, Consejero de la Judicatura a menos que se haya separado de su cargo un </w:t>
      </w:r>
      <w:proofErr w:type="spellStart"/>
      <w:r>
        <w:rPr>
          <w:rFonts w:ascii="Century Gothic" w:eastAsia="Century Gothic" w:hAnsi="Century Gothic" w:cs="Century Gothic"/>
          <w:color w:val="000000"/>
          <w:sz w:val="21"/>
          <w:szCs w:val="21"/>
        </w:rPr>
        <w:t>año</w:t>
      </w:r>
      <w:proofErr w:type="spellEnd"/>
      <w:r>
        <w:rPr>
          <w:rFonts w:ascii="Century Gothic" w:eastAsia="Century Gothic" w:hAnsi="Century Gothic" w:cs="Century Gothic"/>
          <w:color w:val="000000"/>
          <w:sz w:val="21"/>
          <w:szCs w:val="21"/>
        </w:rPr>
        <w:t xml:space="preserve"> antes del </w:t>
      </w:r>
      <w:proofErr w:type="spellStart"/>
      <w:r>
        <w:rPr>
          <w:rFonts w:ascii="Century Gothic" w:eastAsia="Century Gothic" w:hAnsi="Century Gothic" w:cs="Century Gothic"/>
          <w:color w:val="000000"/>
          <w:sz w:val="21"/>
          <w:szCs w:val="21"/>
        </w:rPr>
        <w:t>día</w:t>
      </w:r>
      <w:proofErr w:type="spellEnd"/>
      <w:r>
        <w:rPr>
          <w:rFonts w:ascii="Century Gothic" w:eastAsia="Century Gothic" w:hAnsi="Century Gothic" w:cs="Century Gothic"/>
          <w:color w:val="000000"/>
          <w:sz w:val="21"/>
          <w:szCs w:val="21"/>
        </w:rPr>
        <w:t xml:space="preserve"> de su </w:t>
      </w:r>
      <w:proofErr w:type="spellStart"/>
      <w:r>
        <w:rPr>
          <w:rFonts w:ascii="Century Gothic" w:eastAsia="Century Gothic" w:hAnsi="Century Gothic" w:cs="Century Gothic"/>
          <w:color w:val="000000"/>
          <w:sz w:val="21"/>
          <w:szCs w:val="21"/>
        </w:rPr>
        <w:t>designación</w:t>
      </w:r>
      <w:proofErr w:type="spellEnd"/>
      <w:r>
        <w:rPr>
          <w:rFonts w:ascii="Century Gothic" w:eastAsia="Century Gothic" w:hAnsi="Century Gothic" w:cs="Century Gothic"/>
          <w:color w:val="000000"/>
          <w:sz w:val="21"/>
          <w:szCs w:val="21"/>
        </w:rPr>
        <w:t xml:space="preserve">. </w:t>
      </w:r>
    </w:p>
    <w:p w14:paraId="4333D33C" w14:textId="77777777" w:rsidR="00627C05" w:rsidRDefault="00627C05">
      <w:pPr>
        <w:pBdr>
          <w:top w:val="nil"/>
          <w:left w:val="nil"/>
          <w:bottom w:val="nil"/>
          <w:right w:val="nil"/>
          <w:between w:val="nil"/>
        </w:pBdr>
        <w:ind w:right="-93"/>
        <w:rPr>
          <w:rFonts w:ascii="Century Gothic" w:eastAsia="Century Gothic" w:hAnsi="Century Gothic" w:cs="Century Gothic"/>
          <w:color w:val="000000"/>
          <w:sz w:val="21"/>
          <w:szCs w:val="21"/>
        </w:rPr>
      </w:pPr>
    </w:p>
    <w:p w14:paraId="462A27B7" w14:textId="77777777" w:rsidR="00F825D9" w:rsidRDefault="00F825D9">
      <w:pPr>
        <w:pStyle w:val="Ttulo1"/>
        <w:ind w:left="0" w:right="-93"/>
        <w:rPr>
          <w:rFonts w:ascii="Century Gothic" w:eastAsia="Century Gothic" w:hAnsi="Century Gothic" w:cs="Century Gothic"/>
          <w:sz w:val="21"/>
          <w:szCs w:val="21"/>
        </w:rPr>
      </w:pPr>
    </w:p>
    <w:p w14:paraId="363B6F80" w14:textId="430C33C0" w:rsidR="00627C05" w:rsidRDefault="00000000">
      <w:pPr>
        <w:pStyle w:val="Ttulo1"/>
        <w:ind w:left="0" w:right="-93"/>
        <w:rPr>
          <w:rFonts w:ascii="Century Gothic" w:eastAsia="Century Gothic" w:hAnsi="Century Gothic" w:cs="Century Gothic"/>
          <w:sz w:val="21"/>
          <w:szCs w:val="21"/>
        </w:rPr>
      </w:pPr>
      <w:r>
        <w:rPr>
          <w:rFonts w:ascii="Century Gothic" w:eastAsia="Century Gothic" w:hAnsi="Century Gothic" w:cs="Century Gothic"/>
          <w:sz w:val="21"/>
          <w:szCs w:val="21"/>
        </w:rPr>
        <w:t>SEGUNDA. Documentación</w:t>
      </w:r>
    </w:p>
    <w:p w14:paraId="21315F03" w14:textId="77777777" w:rsidR="00627C05" w:rsidRDefault="00000000">
      <w:pPr>
        <w:pBdr>
          <w:top w:val="nil"/>
          <w:left w:val="nil"/>
          <w:bottom w:val="nil"/>
          <w:right w:val="nil"/>
          <w:between w:val="nil"/>
        </w:pBdr>
        <w:ind w:right="-93"/>
        <w:jc w:val="both"/>
        <w:rPr>
          <w:rFonts w:ascii="Century Gothic" w:eastAsia="Century Gothic" w:hAnsi="Century Gothic" w:cs="Century Gothic"/>
          <w:color w:val="000000"/>
          <w:sz w:val="21"/>
          <w:szCs w:val="21"/>
        </w:rPr>
      </w:pPr>
      <w:r>
        <w:rPr>
          <w:rFonts w:ascii="Century Gothic" w:eastAsia="Century Gothic" w:hAnsi="Century Gothic" w:cs="Century Gothic"/>
          <w:sz w:val="21"/>
          <w:szCs w:val="21"/>
        </w:rPr>
        <w:t>Considerando los requisitos mencionados en la base PRIMERA, la persona aspirante deberá enviar al CPC</w:t>
      </w:r>
      <w:r>
        <w:rPr>
          <w:rFonts w:ascii="Century Gothic" w:eastAsia="Century Gothic" w:hAnsi="Century Gothic" w:cs="Century Gothic"/>
          <w:color w:val="000000"/>
          <w:sz w:val="21"/>
          <w:szCs w:val="21"/>
        </w:rPr>
        <w:t xml:space="preserve"> del SAEQROO los siguientes documentos:</w:t>
      </w:r>
    </w:p>
    <w:p w14:paraId="7E16C3F0" w14:textId="77777777" w:rsidR="00627C05" w:rsidRDefault="00627C05">
      <w:pPr>
        <w:pBdr>
          <w:top w:val="nil"/>
          <w:left w:val="nil"/>
          <w:bottom w:val="nil"/>
          <w:right w:val="nil"/>
          <w:between w:val="nil"/>
        </w:pBdr>
        <w:ind w:right="-93"/>
        <w:rPr>
          <w:rFonts w:ascii="Century Gothic" w:eastAsia="Century Gothic" w:hAnsi="Century Gothic" w:cs="Century Gothic"/>
          <w:color w:val="000000"/>
          <w:sz w:val="21"/>
          <w:szCs w:val="21"/>
        </w:rPr>
      </w:pPr>
    </w:p>
    <w:p w14:paraId="4A67C3D3" w14:textId="77777777" w:rsidR="00627C05" w:rsidRDefault="00000000">
      <w:pPr>
        <w:numPr>
          <w:ilvl w:val="0"/>
          <w:numId w:val="6"/>
        </w:numPr>
        <w:pBdr>
          <w:top w:val="nil"/>
          <w:left w:val="nil"/>
          <w:bottom w:val="nil"/>
          <w:right w:val="nil"/>
          <w:between w:val="nil"/>
        </w:pBdr>
        <w:tabs>
          <w:tab w:val="left" w:pos="442"/>
        </w:tabs>
        <w:ind w:right="-93"/>
        <w:jc w:val="both"/>
        <w:rPr>
          <w:rFonts w:ascii="Century Gothic" w:eastAsia="Century Gothic" w:hAnsi="Century Gothic" w:cs="Century Gothic"/>
          <w:color w:val="000000"/>
          <w:sz w:val="21"/>
          <w:szCs w:val="21"/>
        </w:rPr>
      </w:pPr>
      <w:r>
        <w:rPr>
          <w:rFonts w:ascii="Century Gothic" w:eastAsia="Century Gothic" w:hAnsi="Century Gothic" w:cs="Century Gothic"/>
          <w:sz w:val="21"/>
          <w:szCs w:val="21"/>
        </w:rPr>
        <w:t>Carta(s) de postulación de la institución, asociación, organización o comunidad que postule a la persona aspirante, en la que señale los motivos por los que considera que el o la aspirante reúne los requisitos y cuenta con el perfil idóneo para conformar la terna para ocupar el cargo de titular de la Secretaría Ejecutiva del SAEQROO. Esta carta también puede ser a título personal por parte de la persona que desee postularse. En caso de presentar carta a título personal, la misma deberá estar rubricada en su margen derecho e incluir firma autógrafa de la persona aspirante.</w:t>
      </w:r>
    </w:p>
    <w:p w14:paraId="09D05663" w14:textId="77777777" w:rsidR="00627C05" w:rsidRDefault="00000000">
      <w:pPr>
        <w:numPr>
          <w:ilvl w:val="0"/>
          <w:numId w:val="6"/>
        </w:numPr>
        <w:pBdr>
          <w:top w:val="nil"/>
          <w:left w:val="nil"/>
          <w:bottom w:val="nil"/>
          <w:right w:val="nil"/>
          <w:between w:val="nil"/>
        </w:pBdr>
        <w:tabs>
          <w:tab w:val="left" w:pos="442"/>
        </w:tabs>
        <w:ind w:right="-93"/>
        <w:jc w:val="both"/>
        <w:rPr>
          <w:rFonts w:ascii="Century Gothic" w:eastAsia="Century Gothic" w:hAnsi="Century Gothic" w:cs="Century Gothic"/>
          <w:sz w:val="21"/>
          <w:szCs w:val="21"/>
        </w:rPr>
      </w:pPr>
      <w:r>
        <w:rPr>
          <w:rFonts w:ascii="Century Gothic" w:eastAsia="Century Gothic" w:hAnsi="Century Gothic" w:cs="Century Gothic"/>
          <w:sz w:val="21"/>
          <w:szCs w:val="21"/>
        </w:rPr>
        <w:t xml:space="preserve">Currículum Vitae de la persona aspirante donde acredite su experiencia de al menos 5 años en transparencia, </w:t>
      </w:r>
      <w:proofErr w:type="spellStart"/>
      <w:r>
        <w:rPr>
          <w:rFonts w:ascii="Century Gothic" w:eastAsia="Century Gothic" w:hAnsi="Century Gothic" w:cs="Century Gothic"/>
          <w:sz w:val="21"/>
          <w:szCs w:val="21"/>
        </w:rPr>
        <w:t>evaluación</w:t>
      </w:r>
      <w:proofErr w:type="spellEnd"/>
      <w:r>
        <w:rPr>
          <w:rFonts w:ascii="Century Gothic" w:eastAsia="Century Gothic" w:hAnsi="Century Gothic" w:cs="Century Gothic"/>
          <w:sz w:val="21"/>
          <w:szCs w:val="21"/>
        </w:rPr>
        <w:t xml:space="preserve">, </w:t>
      </w:r>
      <w:proofErr w:type="spellStart"/>
      <w:r>
        <w:rPr>
          <w:rFonts w:ascii="Century Gothic" w:eastAsia="Century Gothic" w:hAnsi="Century Gothic" w:cs="Century Gothic"/>
          <w:sz w:val="21"/>
          <w:szCs w:val="21"/>
        </w:rPr>
        <w:t>fiscalización</w:t>
      </w:r>
      <w:proofErr w:type="spellEnd"/>
      <w:r>
        <w:rPr>
          <w:rFonts w:ascii="Century Gothic" w:eastAsia="Century Gothic" w:hAnsi="Century Gothic" w:cs="Century Gothic"/>
          <w:sz w:val="21"/>
          <w:szCs w:val="21"/>
        </w:rPr>
        <w:t xml:space="preserve">, </w:t>
      </w:r>
      <w:proofErr w:type="spellStart"/>
      <w:r>
        <w:rPr>
          <w:rFonts w:ascii="Century Gothic" w:eastAsia="Century Gothic" w:hAnsi="Century Gothic" w:cs="Century Gothic"/>
          <w:sz w:val="21"/>
          <w:szCs w:val="21"/>
        </w:rPr>
        <w:t>rendición</w:t>
      </w:r>
      <w:proofErr w:type="spellEnd"/>
      <w:r>
        <w:rPr>
          <w:rFonts w:ascii="Century Gothic" w:eastAsia="Century Gothic" w:hAnsi="Century Gothic" w:cs="Century Gothic"/>
          <w:sz w:val="21"/>
          <w:szCs w:val="21"/>
        </w:rPr>
        <w:t xml:space="preserve"> de cuentas o combate a la </w:t>
      </w:r>
      <w:proofErr w:type="spellStart"/>
      <w:r>
        <w:rPr>
          <w:rFonts w:ascii="Century Gothic" w:eastAsia="Century Gothic" w:hAnsi="Century Gothic" w:cs="Century Gothic"/>
          <w:sz w:val="21"/>
          <w:szCs w:val="21"/>
        </w:rPr>
        <w:t>corrupción</w:t>
      </w:r>
      <w:proofErr w:type="spellEnd"/>
      <w:r>
        <w:rPr>
          <w:rFonts w:ascii="Century Gothic" w:eastAsia="Century Gothic" w:hAnsi="Century Gothic" w:cs="Century Gothic"/>
          <w:sz w:val="21"/>
          <w:szCs w:val="21"/>
        </w:rPr>
        <w:t>, para el cual deberá utilizar el formato del Anexo 1. El Currículum Vitae deberá estar rubricado en su margen derecho e incluir firma autógrafa de la persona aspirante. En cualquier momento podrá requerirse la documentación original para su cotejo.</w:t>
      </w:r>
    </w:p>
    <w:p w14:paraId="188EDA8D" w14:textId="77777777" w:rsidR="00627C05" w:rsidRDefault="00000000">
      <w:pPr>
        <w:numPr>
          <w:ilvl w:val="0"/>
          <w:numId w:val="6"/>
        </w:numPr>
        <w:pBdr>
          <w:top w:val="nil"/>
          <w:left w:val="nil"/>
          <w:bottom w:val="nil"/>
          <w:right w:val="nil"/>
          <w:between w:val="nil"/>
        </w:pBdr>
        <w:tabs>
          <w:tab w:val="left" w:pos="442"/>
        </w:tabs>
        <w:ind w:right="-93"/>
        <w:jc w:val="both"/>
        <w:rPr>
          <w:rFonts w:ascii="Century Gothic" w:eastAsia="Century Gothic" w:hAnsi="Century Gothic" w:cs="Century Gothic"/>
          <w:color w:val="000000"/>
          <w:sz w:val="21"/>
          <w:szCs w:val="21"/>
        </w:rPr>
      </w:pPr>
      <w:r>
        <w:rPr>
          <w:rFonts w:ascii="Century Gothic" w:eastAsia="Century Gothic" w:hAnsi="Century Gothic" w:cs="Century Gothic"/>
          <w:color w:val="000000"/>
          <w:sz w:val="21"/>
          <w:szCs w:val="21"/>
        </w:rPr>
        <w:t xml:space="preserve">Escrito libre de la persona </w:t>
      </w:r>
      <w:r>
        <w:rPr>
          <w:rFonts w:ascii="Century Gothic" w:eastAsia="Century Gothic" w:hAnsi="Century Gothic" w:cs="Century Gothic"/>
          <w:sz w:val="21"/>
          <w:szCs w:val="21"/>
        </w:rPr>
        <w:t>aspirante</w:t>
      </w:r>
      <w:r>
        <w:rPr>
          <w:rFonts w:ascii="Century Gothic" w:eastAsia="Century Gothic" w:hAnsi="Century Gothic" w:cs="Century Gothic"/>
          <w:color w:val="000000"/>
          <w:sz w:val="21"/>
          <w:szCs w:val="21"/>
        </w:rPr>
        <w:t xml:space="preserve"> que contenga un</w:t>
      </w:r>
      <w:r>
        <w:rPr>
          <w:rFonts w:ascii="Century Gothic" w:eastAsia="Century Gothic" w:hAnsi="Century Gothic" w:cs="Century Gothic"/>
          <w:sz w:val="21"/>
          <w:szCs w:val="21"/>
        </w:rPr>
        <w:t>a</w:t>
      </w:r>
      <w:r>
        <w:rPr>
          <w:rFonts w:ascii="Century Gothic" w:eastAsia="Century Gothic" w:hAnsi="Century Gothic" w:cs="Century Gothic"/>
          <w:color w:val="000000"/>
          <w:sz w:val="21"/>
          <w:szCs w:val="21"/>
        </w:rPr>
        <w:t xml:space="preserve"> exposición de motivos en la que explique </w:t>
      </w:r>
      <w:r>
        <w:rPr>
          <w:rFonts w:ascii="Century Gothic" w:eastAsia="Century Gothic" w:hAnsi="Century Gothic" w:cs="Century Gothic"/>
          <w:sz w:val="21"/>
          <w:szCs w:val="21"/>
        </w:rPr>
        <w:t xml:space="preserve">las razones por las cuales considera que, con base en sus méritos y experiencia, es la persona idónea para el cargo. El documento no deberá exceder las 2 cuartillas y deberá realizarse en letra Arial </w:t>
      </w:r>
      <w:r>
        <w:rPr>
          <w:rFonts w:ascii="Century Gothic" w:eastAsia="Century Gothic" w:hAnsi="Century Gothic" w:cs="Century Gothic"/>
          <w:color w:val="000000"/>
          <w:sz w:val="21"/>
          <w:szCs w:val="21"/>
        </w:rPr>
        <w:t xml:space="preserve">número 12, </w:t>
      </w:r>
      <w:r>
        <w:rPr>
          <w:rFonts w:ascii="Century Gothic" w:eastAsia="Century Gothic" w:hAnsi="Century Gothic" w:cs="Century Gothic"/>
          <w:sz w:val="21"/>
          <w:szCs w:val="21"/>
        </w:rPr>
        <w:t>interlineado sencillo. El escrito deberá estar rubricado en su margen derecho e incluir firma autógrafa de la persona aspirante.</w:t>
      </w:r>
    </w:p>
    <w:p w14:paraId="3B630ABF" w14:textId="77777777" w:rsidR="00627C05" w:rsidRDefault="00000000">
      <w:pPr>
        <w:numPr>
          <w:ilvl w:val="0"/>
          <w:numId w:val="6"/>
        </w:numPr>
        <w:pBdr>
          <w:top w:val="nil"/>
          <w:left w:val="nil"/>
          <w:bottom w:val="nil"/>
          <w:right w:val="nil"/>
          <w:between w:val="nil"/>
        </w:pBdr>
        <w:tabs>
          <w:tab w:val="left" w:pos="442"/>
        </w:tabs>
        <w:ind w:right="-93"/>
        <w:jc w:val="both"/>
        <w:rPr>
          <w:rFonts w:ascii="Century Gothic" w:eastAsia="Century Gothic" w:hAnsi="Century Gothic" w:cs="Century Gothic"/>
          <w:color w:val="000000"/>
          <w:sz w:val="21"/>
          <w:szCs w:val="21"/>
        </w:rPr>
      </w:pPr>
      <w:r>
        <w:rPr>
          <w:rFonts w:ascii="Century Gothic" w:eastAsia="Century Gothic" w:hAnsi="Century Gothic" w:cs="Century Gothic"/>
          <w:sz w:val="21"/>
          <w:szCs w:val="21"/>
        </w:rPr>
        <w:t xml:space="preserve">Programa de trabajo a cinco años, el cual deberá ser presentado mediante un documento de no más de 2 cuartillas donde especifique las propuestas de acciones a desarrollar en el corto y mediano plazo. El Programa de trabajo deberá estar rubricado en su margen derecho e incluir firma autógrafa de la </w:t>
      </w:r>
      <w:r>
        <w:rPr>
          <w:rFonts w:ascii="Century Gothic" w:eastAsia="Century Gothic" w:hAnsi="Century Gothic" w:cs="Century Gothic"/>
          <w:sz w:val="21"/>
          <w:szCs w:val="21"/>
        </w:rPr>
        <w:lastRenderedPageBreak/>
        <w:t>persona aspirante.</w:t>
      </w:r>
    </w:p>
    <w:p w14:paraId="61A00BB7" w14:textId="77777777" w:rsidR="00627C05" w:rsidRDefault="00000000">
      <w:pPr>
        <w:numPr>
          <w:ilvl w:val="0"/>
          <w:numId w:val="6"/>
        </w:numPr>
        <w:tabs>
          <w:tab w:val="left" w:pos="442"/>
        </w:tabs>
        <w:ind w:right="-93"/>
        <w:jc w:val="both"/>
        <w:rPr>
          <w:rFonts w:ascii="Century Gothic" w:eastAsia="Century Gothic" w:hAnsi="Century Gothic" w:cs="Century Gothic"/>
          <w:sz w:val="21"/>
          <w:szCs w:val="21"/>
        </w:rPr>
      </w:pPr>
      <w:r>
        <w:rPr>
          <w:rFonts w:ascii="Century Gothic" w:eastAsia="Century Gothic" w:hAnsi="Century Gothic" w:cs="Century Gothic"/>
          <w:sz w:val="21"/>
          <w:szCs w:val="21"/>
        </w:rPr>
        <w:t>Identificación oficial (credencial de elector, pasaporte o cédula profesional con fotografía).</w:t>
      </w:r>
    </w:p>
    <w:p w14:paraId="53EE4C83" w14:textId="77777777" w:rsidR="00627C05" w:rsidRDefault="00000000">
      <w:pPr>
        <w:numPr>
          <w:ilvl w:val="0"/>
          <w:numId w:val="6"/>
        </w:numPr>
        <w:tabs>
          <w:tab w:val="left" w:pos="442"/>
        </w:tabs>
        <w:ind w:right="-93"/>
        <w:jc w:val="both"/>
        <w:rPr>
          <w:rFonts w:ascii="Century Gothic" w:eastAsia="Century Gothic" w:hAnsi="Century Gothic" w:cs="Century Gothic"/>
          <w:sz w:val="21"/>
          <w:szCs w:val="21"/>
        </w:rPr>
      </w:pPr>
      <w:r>
        <w:rPr>
          <w:rFonts w:ascii="Century Gothic" w:eastAsia="Century Gothic" w:hAnsi="Century Gothic" w:cs="Century Gothic"/>
          <w:sz w:val="21"/>
          <w:szCs w:val="21"/>
        </w:rPr>
        <w:t>Carta que acredita la residencia de al menos cinco años en el estado de Quintana Roo, anteriores a la designación.</w:t>
      </w:r>
    </w:p>
    <w:p w14:paraId="77FA200B" w14:textId="77777777" w:rsidR="00627C05" w:rsidRDefault="00000000">
      <w:pPr>
        <w:numPr>
          <w:ilvl w:val="0"/>
          <w:numId w:val="6"/>
        </w:numPr>
        <w:pBdr>
          <w:top w:val="nil"/>
          <w:left w:val="nil"/>
          <w:bottom w:val="nil"/>
          <w:right w:val="nil"/>
          <w:between w:val="nil"/>
        </w:pBdr>
        <w:tabs>
          <w:tab w:val="left" w:pos="442"/>
        </w:tabs>
        <w:ind w:right="-93"/>
        <w:jc w:val="both"/>
        <w:rPr>
          <w:rFonts w:ascii="Century Gothic" w:eastAsia="Century Gothic" w:hAnsi="Century Gothic" w:cs="Century Gothic"/>
          <w:color w:val="000000"/>
          <w:sz w:val="21"/>
          <w:szCs w:val="21"/>
        </w:rPr>
      </w:pPr>
      <w:r>
        <w:rPr>
          <w:rFonts w:ascii="Century Gothic" w:eastAsia="Century Gothic" w:hAnsi="Century Gothic" w:cs="Century Gothic"/>
          <w:sz w:val="21"/>
          <w:szCs w:val="21"/>
        </w:rPr>
        <w:t>Acta de nacimiento y Carta de Naturalización, en su caso.</w:t>
      </w:r>
    </w:p>
    <w:p w14:paraId="51AC39C2" w14:textId="77777777" w:rsidR="00627C05" w:rsidRDefault="00000000">
      <w:pPr>
        <w:numPr>
          <w:ilvl w:val="0"/>
          <w:numId w:val="6"/>
        </w:numPr>
        <w:pBdr>
          <w:top w:val="nil"/>
          <w:left w:val="nil"/>
          <w:bottom w:val="nil"/>
          <w:right w:val="nil"/>
          <w:between w:val="nil"/>
        </w:pBdr>
        <w:tabs>
          <w:tab w:val="left" w:pos="442"/>
        </w:tabs>
        <w:ind w:right="-93"/>
        <w:jc w:val="both"/>
        <w:rPr>
          <w:rFonts w:ascii="Century Gothic" w:eastAsia="Century Gothic" w:hAnsi="Century Gothic" w:cs="Century Gothic"/>
          <w:color w:val="000000"/>
          <w:sz w:val="21"/>
          <w:szCs w:val="21"/>
        </w:rPr>
      </w:pPr>
      <w:r>
        <w:rPr>
          <w:rFonts w:ascii="Century Gothic" w:eastAsia="Century Gothic" w:hAnsi="Century Gothic" w:cs="Century Gothic"/>
          <w:color w:val="000000"/>
          <w:sz w:val="21"/>
          <w:szCs w:val="21"/>
        </w:rPr>
        <w:t xml:space="preserve">Título profesional, de nivel licenciatura que deberá tener una antigüedad mínima de 5 años, al día de la designación. Se podrán </w:t>
      </w:r>
      <w:r>
        <w:rPr>
          <w:rFonts w:ascii="Century Gothic" w:eastAsia="Century Gothic" w:hAnsi="Century Gothic" w:cs="Century Gothic"/>
          <w:sz w:val="21"/>
          <w:szCs w:val="21"/>
        </w:rPr>
        <w:t>añadir</w:t>
      </w:r>
      <w:r>
        <w:rPr>
          <w:rFonts w:ascii="Century Gothic" w:eastAsia="Century Gothic" w:hAnsi="Century Gothic" w:cs="Century Gothic"/>
          <w:color w:val="000000"/>
          <w:sz w:val="21"/>
          <w:szCs w:val="21"/>
        </w:rPr>
        <w:t xml:space="preserve"> documentos que acrediten posgrado.</w:t>
      </w:r>
    </w:p>
    <w:p w14:paraId="5730B9BE" w14:textId="77777777" w:rsidR="00627C05" w:rsidRDefault="00000000">
      <w:pPr>
        <w:numPr>
          <w:ilvl w:val="0"/>
          <w:numId w:val="6"/>
        </w:numPr>
        <w:tabs>
          <w:tab w:val="left" w:pos="442"/>
        </w:tabs>
        <w:jc w:val="both"/>
        <w:rPr>
          <w:rFonts w:ascii="Century Gothic" w:eastAsia="Century Gothic" w:hAnsi="Century Gothic" w:cs="Century Gothic"/>
          <w:sz w:val="21"/>
          <w:szCs w:val="21"/>
        </w:rPr>
      </w:pPr>
      <w:r>
        <w:rPr>
          <w:rFonts w:ascii="Century Gothic" w:eastAsia="Century Gothic" w:hAnsi="Century Gothic" w:cs="Century Gothic"/>
          <w:sz w:val="21"/>
          <w:szCs w:val="21"/>
        </w:rPr>
        <w:t xml:space="preserve">Dos cartas de recomendación (idealmente empleadores o personas/organizaciones con reconocida trayectoria profesional) </w:t>
      </w:r>
    </w:p>
    <w:p w14:paraId="035287F1" w14:textId="77777777" w:rsidR="00627C05" w:rsidRDefault="00000000">
      <w:pPr>
        <w:numPr>
          <w:ilvl w:val="0"/>
          <w:numId w:val="6"/>
        </w:numPr>
        <w:tabs>
          <w:tab w:val="left" w:pos="442"/>
        </w:tabs>
        <w:jc w:val="both"/>
        <w:rPr>
          <w:rFonts w:ascii="Century Gothic" w:eastAsia="Century Gothic" w:hAnsi="Century Gothic" w:cs="Century Gothic"/>
          <w:sz w:val="21"/>
          <w:szCs w:val="21"/>
        </w:rPr>
      </w:pPr>
      <w:r>
        <w:rPr>
          <w:rFonts w:ascii="Century Gothic" w:eastAsia="Century Gothic" w:hAnsi="Century Gothic" w:cs="Century Gothic"/>
          <w:sz w:val="21"/>
          <w:szCs w:val="21"/>
        </w:rPr>
        <w:t xml:space="preserve">Certificado de antecedentes no penales expedido por la </w:t>
      </w:r>
      <w:proofErr w:type="gramStart"/>
      <w:r>
        <w:rPr>
          <w:rFonts w:ascii="Century Gothic" w:eastAsia="Century Gothic" w:hAnsi="Century Gothic" w:cs="Century Gothic"/>
          <w:sz w:val="21"/>
          <w:szCs w:val="21"/>
        </w:rPr>
        <w:t>Fiscalía General</w:t>
      </w:r>
      <w:proofErr w:type="gramEnd"/>
      <w:r>
        <w:rPr>
          <w:rFonts w:ascii="Century Gothic" w:eastAsia="Century Gothic" w:hAnsi="Century Gothic" w:cs="Century Gothic"/>
          <w:sz w:val="21"/>
          <w:szCs w:val="21"/>
        </w:rPr>
        <w:t xml:space="preserve"> del Estado.</w:t>
      </w:r>
    </w:p>
    <w:p w14:paraId="1035DAD5" w14:textId="77777777" w:rsidR="00627C05" w:rsidRDefault="00000000">
      <w:pPr>
        <w:numPr>
          <w:ilvl w:val="0"/>
          <w:numId w:val="6"/>
        </w:numPr>
        <w:pBdr>
          <w:top w:val="nil"/>
          <w:left w:val="nil"/>
          <w:bottom w:val="nil"/>
          <w:right w:val="nil"/>
          <w:between w:val="nil"/>
        </w:pBdr>
        <w:tabs>
          <w:tab w:val="left" w:pos="442"/>
        </w:tabs>
        <w:ind w:right="-93"/>
        <w:jc w:val="both"/>
        <w:rPr>
          <w:rFonts w:ascii="Century Gothic" w:eastAsia="Century Gothic" w:hAnsi="Century Gothic" w:cs="Century Gothic"/>
          <w:color w:val="000000"/>
          <w:sz w:val="21"/>
          <w:szCs w:val="21"/>
        </w:rPr>
      </w:pPr>
      <w:r>
        <w:rPr>
          <w:rFonts w:ascii="Century Gothic" w:eastAsia="Century Gothic" w:hAnsi="Century Gothic" w:cs="Century Gothic"/>
          <w:color w:val="000000"/>
          <w:sz w:val="21"/>
          <w:szCs w:val="21"/>
        </w:rPr>
        <w:t>Declaración de situación patrimonial y de intereses, en los formatos aprobados por el Comité Coordinador del Sistema Nacional Anticorrupción, publicados en el Diario Oficial de la Federación el 23 de septiembre de 2019.</w:t>
      </w:r>
      <w:r>
        <w:rPr>
          <w:rFonts w:ascii="Century Gothic" w:eastAsia="Century Gothic" w:hAnsi="Century Gothic" w:cs="Century Gothic"/>
          <w:color w:val="000000"/>
          <w:sz w:val="21"/>
          <w:szCs w:val="21"/>
          <w:vertAlign w:val="superscript"/>
        </w:rPr>
        <w:footnoteReference w:id="3"/>
      </w:r>
      <w:r>
        <w:rPr>
          <w:rFonts w:ascii="Century Gothic" w:eastAsia="Century Gothic" w:hAnsi="Century Gothic" w:cs="Century Gothic"/>
          <w:color w:val="000000"/>
          <w:sz w:val="21"/>
          <w:szCs w:val="21"/>
        </w:rPr>
        <w:t xml:space="preserve"> (Anexo 2)</w:t>
      </w:r>
    </w:p>
    <w:p w14:paraId="7D18CC48" w14:textId="77777777" w:rsidR="00627C05" w:rsidRDefault="00000000">
      <w:pPr>
        <w:pBdr>
          <w:top w:val="nil"/>
          <w:left w:val="nil"/>
          <w:bottom w:val="nil"/>
          <w:right w:val="nil"/>
          <w:between w:val="nil"/>
        </w:pBdr>
        <w:ind w:left="708" w:right="-93"/>
        <w:jc w:val="both"/>
        <w:rPr>
          <w:rFonts w:ascii="Century Gothic" w:eastAsia="Century Gothic" w:hAnsi="Century Gothic" w:cs="Century Gothic"/>
          <w:sz w:val="21"/>
          <w:szCs w:val="21"/>
        </w:rPr>
      </w:pPr>
      <w:r>
        <w:rPr>
          <w:rFonts w:ascii="Century Gothic" w:eastAsia="Century Gothic" w:hAnsi="Century Gothic" w:cs="Century Gothic"/>
          <w:color w:val="000000"/>
          <w:sz w:val="21"/>
          <w:szCs w:val="21"/>
        </w:rPr>
        <w:t xml:space="preserve">En caso de ser una persona servidora pública en activo, deberá enviar las últimas </w:t>
      </w:r>
      <w:r>
        <w:rPr>
          <w:rFonts w:ascii="Century Gothic" w:eastAsia="Century Gothic" w:hAnsi="Century Gothic" w:cs="Century Gothic"/>
          <w:sz w:val="21"/>
          <w:szCs w:val="21"/>
        </w:rPr>
        <w:t>declaraciones</w:t>
      </w:r>
      <w:r>
        <w:rPr>
          <w:rFonts w:ascii="Century Gothic" w:eastAsia="Century Gothic" w:hAnsi="Century Gothic" w:cs="Century Gothic"/>
          <w:color w:val="000000"/>
          <w:sz w:val="21"/>
          <w:szCs w:val="21"/>
        </w:rPr>
        <w:t xml:space="preserve"> presentadas ante el Órgano Interno de Control del ente público de su adscripción.</w:t>
      </w:r>
    </w:p>
    <w:p w14:paraId="3B61F21F" w14:textId="77777777" w:rsidR="00627C05" w:rsidRDefault="00000000">
      <w:pPr>
        <w:numPr>
          <w:ilvl w:val="0"/>
          <w:numId w:val="6"/>
        </w:numPr>
        <w:pBdr>
          <w:top w:val="nil"/>
          <w:left w:val="nil"/>
          <w:bottom w:val="nil"/>
          <w:right w:val="nil"/>
          <w:between w:val="nil"/>
        </w:pBdr>
        <w:ind w:right="-93"/>
        <w:jc w:val="both"/>
        <w:rPr>
          <w:rFonts w:ascii="Century Gothic" w:eastAsia="Century Gothic" w:hAnsi="Century Gothic" w:cs="Century Gothic"/>
          <w:color w:val="000000"/>
          <w:sz w:val="21"/>
          <w:szCs w:val="21"/>
        </w:rPr>
      </w:pPr>
      <w:r>
        <w:rPr>
          <w:rFonts w:ascii="Century Gothic" w:eastAsia="Century Gothic" w:hAnsi="Century Gothic" w:cs="Century Gothic"/>
          <w:color w:val="000000"/>
          <w:sz w:val="21"/>
          <w:szCs w:val="21"/>
        </w:rPr>
        <w:t>Opinión de cumplimiento de obligaciones fiscales, en sentido positivo, expedida por el Servicio de Administración Tributaria, con una antigüedad no mayor a tres meses.</w:t>
      </w:r>
    </w:p>
    <w:p w14:paraId="379274CA" w14:textId="77777777" w:rsidR="00627C05" w:rsidRDefault="00000000">
      <w:pPr>
        <w:numPr>
          <w:ilvl w:val="0"/>
          <w:numId w:val="6"/>
        </w:numPr>
        <w:pBdr>
          <w:top w:val="nil"/>
          <w:left w:val="nil"/>
          <w:bottom w:val="nil"/>
          <w:right w:val="nil"/>
          <w:between w:val="nil"/>
        </w:pBdr>
        <w:ind w:right="-93"/>
        <w:jc w:val="both"/>
        <w:rPr>
          <w:rFonts w:ascii="Century Gothic" w:eastAsia="Century Gothic" w:hAnsi="Century Gothic" w:cs="Century Gothic"/>
          <w:color w:val="000000"/>
          <w:sz w:val="21"/>
          <w:szCs w:val="21"/>
        </w:rPr>
      </w:pPr>
      <w:r>
        <w:rPr>
          <w:rFonts w:ascii="Century Gothic" w:eastAsia="Century Gothic" w:hAnsi="Century Gothic" w:cs="Century Gothic"/>
          <w:sz w:val="21"/>
          <w:szCs w:val="21"/>
        </w:rPr>
        <w:t>Declaración de real, potencial o aparente conflicto de interés con integrantes del CPC y/o integrantes del Órgano de Gobierno de la Secretaría Ejecutiva del Sistema Estatal Anticorrupción de Quintana Roo.</w:t>
      </w:r>
      <w:r>
        <w:rPr>
          <w:rFonts w:ascii="Century Gothic" w:eastAsia="Century Gothic" w:hAnsi="Century Gothic" w:cs="Century Gothic"/>
          <w:sz w:val="21"/>
          <w:szCs w:val="21"/>
          <w:vertAlign w:val="superscript"/>
        </w:rPr>
        <w:footnoteReference w:id="4"/>
      </w:r>
      <w:r>
        <w:rPr>
          <w:rFonts w:ascii="Century Gothic" w:eastAsia="Century Gothic" w:hAnsi="Century Gothic" w:cs="Century Gothic"/>
          <w:sz w:val="21"/>
          <w:szCs w:val="21"/>
        </w:rPr>
        <w:t xml:space="preserve"> El escrito deberá estar rubricado en su margen derecho e incluir firma autógrafa de la persona aspirante.</w:t>
      </w:r>
    </w:p>
    <w:p w14:paraId="089747F2" w14:textId="77777777" w:rsidR="00627C05" w:rsidRDefault="00000000">
      <w:pPr>
        <w:numPr>
          <w:ilvl w:val="0"/>
          <w:numId w:val="6"/>
        </w:numPr>
        <w:pBdr>
          <w:top w:val="nil"/>
          <w:left w:val="nil"/>
          <w:bottom w:val="nil"/>
          <w:right w:val="nil"/>
          <w:between w:val="nil"/>
        </w:pBdr>
        <w:ind w:right="-93"/>
        <w:jc w:val="both"/>
        <w:rPr>
          <w:rFonts w:ascii="Century Gothic" w:eastAsia="Century Gothic" w:hAnsi="Century Gothic" w:cs="Century Gothic"/>
          <w:color w:val="000000"/>
          <w:sz w:val="21"/>
          <w:szCs w:val="21"/>
        </w:rPr>
      </w:pPr>
      <w:r>
        <w:rPr>
          <w:rFonts w:ascii="Century Gothic" w:eastAsia="Century Gothic" w:hAnsi="Century Gothic" w:cs="Century Gothic"/>
          <w:sz w:val="21"/>
          <w:szCs w:val="21"/>
        </w:rPr>
        <w:t xml:space="preserve">Presentar carta compromiso expresando </w:t>
      </w:r>
      <w:proofErr w:type="gramStart"/>
      <w:r>
        <w:rPr>
          <w:rFonts w:ascii="Century Gothic" w:eastAsia="Century Gothic" w:hAnsi="Century Gothic" w:cs="Century Gothic"/>
          <w:sz w:val="21"/>
          <w:szCs w:val="21"/>
        </w:rPr>
        <w:t>que</w:t>
      </w:r>
      <w:proofErr w:type="gramEnd"/>
      <w:r>
        <w:rPr>
          <w:rFonts w:ascii="Century Gothic" w:eastAsia="Century Gothic" w:hAnsi="Century Gothic" w:cs="Century Gothic"/>
          <w:sz w:val="21"/>
          <w:szCs w:val="21"/>
        </w:rPr>
        <w:t xml:space="preserve"> en el caso de ser designado, una vez que inicie el periodo no ocupará otro empleo, cargo o comisión de cualquier naturaleza, en los gobiernos federal, estatal o municipal, ni cualquier otro empleo y/o actividad que le impida y/o limite el ejercicio de sus funciones, a excepción de la docencia. El escrito deberá estar rubricado en su margen derecho e incluir firma autógrafa de la persona aspirante.</w:t>
      </w:r>
    </w:p>
    <w:p w14:paraId="2EAFCB3C" w14:textId="77777777" w:rsidR="00627C05" w:rsidRDefault="00000000">
      <w:pPr>
        <w:numPr>
          <w:ilvl w:val="0"/>
          <w:numId w:val="6"/>
        </w:numPr>
        <w:pBdr>
          <w:top w:val="nil"/>
          <w:left w:val="nil"/>
          <w:bottom w:val="nil"/>
          <w:right w:val="nil"/>
          <w:between w:val="nil"/>
        </w:pBdr>
        <w:ind w:right="-93"/>
        <w:jc w:val="both"/>
        <w:rPr>
          <w:rFonts w:ascii="Century Gothic" w:eastAsia="Century Gothic" w:hAnsi="Century Gothic" w:cs="Century Gothic"/>
          <w:color w:val="000000"/>
          <w:sz w:val="21"/>
          <w:szCs w:val="21"/>
        </w:rPr>
      </w:pPr>
      <w:r>
        <w:rPr>
          <w:rFonts w:ascii="Century Gothic" w:eastAsia="Century Gothic" w:hAnsi="Century Gothic" w:cs="Century Gothic"/>
          <w:color w:val="000000"/>
          <w:sz w:val="21"/>
          <w:szCs w:val="21"/>
        </w:rPr>
        <w:t>C</w:t>
      </w:r>
      <w:r>
        <w:rPr>
          <w:rFonts w:ascii="Century Gothic" w:eastAsia="Century Gothic" w:hAnsi="Century Gothic" w:cs="Century Gothic"/>
          <w:sz w:val="21"/>
          <w:szCs w:val="21"/>
        </w:rPr>
        <w:t xml:space="preserve">arta/s </w:t>
      </w:r>
      <w:r>
        <w:rPr>
          <w:rFonts w:ascii="Century Gothic" w:eastAsia="Century Gothic" w:hAnsi="Century Gothic" w:cs="Century Gothic"/>
          <w:color w:val="000000"/>
          <w:sz w:val="21"/>
          <w:szCs w:val="21"/>
        </w:rPr>
        <w:t xml:space="preserve">en la que la persona aspirante manifieste, bajo protesta de decir verdad, lo siguiente: </w:t>
      </w:r>
    </w:p>
    <w:p w14:paraId="291478BE" w14:textId="77777777" w:rsidR="00627C05" w:rsidRDefault="00000000">
      <w:pPr>
        <w:numPr>
          <w:ilvl w:val="0"/>
          <w:numId w:val="4"/>
        </w:numPr>
        <w:pBdr>
          <w:top w:val="nil"/>
          <w:left w:val="nil"/>
          <w:bottom w:val="nil"/>
          <w:right w:val="nil"/>
          <w:between w:val="nil"/>
        </w:pBdr>
        <w:ind w:right="-93"/>
        <w:jc w:val="both"/>
        <w:rPr>
          <w:rFonts w:ascii="Century Gothic" w:eastAsia="Century Gothic" w:hAnsi="Century Gothic" w:cs="Century Gothic"/>
          <w:sz w:val="19"/>
          <w:szCs w:val="19"/>
        </w:rPr>
      </w:pPr>
      <w:r>
        <w:rPr>
          <w:rFonts w:ascii="Century Gothic" w:eastAsia="Century Gothic" w:hAnsi="Century Gothic" w:cs="Century Gothic"/>
          <w:sz w:val="19"/>
          <w:szCs w:val="19"/>
        </w:rPr>
        <w:t>No ha sido registrado como candidato, ni haber desempeñado cargo alguno de elección popular en los últimos cuatro años anteriores a la designación (Artículo 34, fracción IX)</w:t>
      </w:r>
    </w:p>
    <w:p w14:paraId="1168D07E" w14:textId="77777777" w:rsidR="00627C05" w:rsidRDefault="00000000">
      <w:pPr>
        <w:numPr>
          <w:ilvl w:val="0"/>
          <w:numId w:val="4"/>
        </w:numPr>
        <w:pBdr>
          <w:top w:val="nil"/>
          <w:left w:val="nil"/>
          <w:bottom w:val="nil"/>
          <w:right w:val="nil"/>
          <w:between w:val="nil"/>
        </w:pBdr>
        <w:ind w:right="-93"/>
        <w:jc w:val="both"/>
        <w:rPr>
          <w:rFonts w:ascii="Century Gothic" w:eastAsia="Century Gothic" w:hAnsi="Century Gothic" w:cs="Century Gothic"/>
          <w:sz w:val="19"/>
          <w:szCs w:val="19"/>
        </w:rPr>
      </w:pPr>
      <w:r>
        <w:rPr>
          <w:rFonts w:ascii="Century Gothic" w:eastAsia="Century Gothic" w:hAnsi="Century Gothic" w:cs="Century Gothic"/>
          <w:sz w:val="19"/>
          <w:szCs w:val="19"/>
        </w:rPr>
        <w:t xml:space="preserve">No ser titular de una dependencia o entidad del Estado, </w:t>
      </w:r>
      <w:proofErr w:type="gramStart"/>
      <w:r>
        <w:rPr>
          <w:rFonts w:ascii="Century Gothic" w:eastAsia="Century Gothic" w:hAnsi="Century Gothic" w:cs="Century Gothic"/>
          <w:sz w:val="19"/>
          <w:szCs w:val="19"/>
        </w:rPr>
        <w:t>Fiscal General</w:t>
      </w:r>
      <w:proofErr w:type="gramEnd"/>
      <w:r>
        <w:rPr>
          <w:rFonts w:ascii="Century Gothic" w:eastAsia="Century Gothic" w:hAnsi="Century Gothic" w:cs="Century Gothic"/>
          <w:sz w:val="19"/>
          <w:szCs w:val="19"/>
        </w:rPr>
        <w:t xml:space="preserve"> del Estado, Subsecretario, Gobernador, Secretario de Gobierno, Consejero de la Judicatura a menos </w:t>
      </w:r>
      <w:r>
        <w:rPr>
          <w:rFonts w:ascii="Century Gothic" w:eastAsia="Century Gothic" w:hAnsi="Century Gothic" w:cs="Century Gothic"/>
          <w:sz w:val="19"/>
          <w:szCs w:val="19"/>
        </w:rPr>
        <w:lastRenderedPageBreak/>
        <w:t>que se haya separado de su cargo un año antes del día de su designación (Artículo 34, fracción X)</w:t>
      </w:r>
    </w:p>
    <w:p w14:paraId="7D131F7A" w14:textId="77777777" w:rsidR="00627C05" w:rsidRDefault="00000000">
      <w:pPr>
        <w:numPr>
          <w:ilvl w:val="0"/>
          <w:numId w:val="4"/>
        </w:numPr>
        <w:pBdr>
          <w:top w:val="nil"/>
          <w:left w:val="nil"/>
          <w:bottom w:val="nil"/>
          <w:right w:val="nil"/>
          <w:between w:val="nil"/>
        </w:pBdr>
        <w:ind w:right="-93"/>
        <w:jc w:val="both"/>
        <w:rPr>
          <w:rFonts w:ascii="Century Gothic" w:eastAsia="Century Gothic" w:hAnsi="Century Gothic" w:cs="Century Gothic"/>
          <w:sz w:val="19"/>
          <w:szCs w:val="19"/>
        </w:rPr>
      </w:pPr>
      <w:r>
        <w:rPr>
          <w:rFonts w:ascii="Century Gothic" w:eastAsia="Century Gothic" w:hAnsi="Century Gothic" w:cs="Century Gothic"/>
          <w:sz w:val="19"/>
          <w:szCs w:val="19"/>
        </w:rPr>
        <w:t>No haber sido miembro, adherente o afiliado a algún partido político, durante los cuatro años anteriores a la fecha de emisión de la convocatoria (Artículo 34, fracción XI)</w:t>
      </w:r>
    </w:p>
    <w:p w14:paraId="61AB83E1" w14:textId="77777777" w:rsidR="00627C05" w:rsidRDefault="00000000">
      <w:pPr>
        <w:numPr>
          <w:ilvl w:val="0"/>
          <w:numId w:val="4"/>
        </w:numPr>
        <w:pBdr>
          <w:top w:val="nil"/>
          <w:left w:val="nil"/>
          <w:bottom w:val="nil"/>
          <w:right w:val="nil"/>
          <w:between w:val="nil"/>
        </w:pBdr>
        <w:ind w:right="-93"/>
        <w:jc w:val="both"/>
        <w:rPr>
          <w:rFonts w:ascii="Century Gothic" w:eastAsia="Century Gothic" w:hAnsi="Century Gothic" w:cs="Century Gothic"/>
          <w:sz w:val="19"/>
          <w:szCs w:val="19"/>
        </w:rPr>
      </w:pPr>
      <w:r>
        <w:rPr>
          <w:rFonts w:ascii="Century Gothic" w:eastAsia="Century Gothic" w:hAnsi="Century Gothic" w:cs="Century Gothic"/>
          <w:sz w:val="19"/>
          <w:szCs w:val="19"/>
        </w:rPr>
        <w:t xml:space="preserve">No ser titular de una dependencia o entidad del Estado, </w:t>
      </w:r>
      <w:proofErr w:type="gramStart"/>
      <w:r>
        <w:rPr>
          <w:rFonts w:ascii="Century Gothic" w:eastAsia="Century Gothic" w:hAnsi="Century Gothic" w:cs="Century Gothic"/>
          <w:sz w:val="19"/>
          <w:szCs w:val="19"/>
        </w:rPr>
        <w:t>Fiscal General</w:t>
      </w:r>
      <w:proofErr w:type="gramEnd"/>
      <w:r>
        <w:rPr>
          <w:rFonts w:ascii="Century Gothic" w:eastAsia="Century Gothic" w:hAnsi="Century Gothic" w:cs="Century Gothic"/>
          <w:sz w:val="19"/>
          <w:szCs w:val="19"/>
        </w:rPr>
        <w:t xml:space="preserve"> del Estado, Subsecretario, Oficial Mayor, Gobernador, Secretario de Gobierno, Consejero de la Judicatura a menos que se haya separado de su cargo un año antes del día de su designación (Artículo 34, fracción XII). </w:t>
      </w:r>
      <w:r>
        <w:rPr>
          <w:rFonts w:ascii="Century Gothic" w:eastAsia="Century Gothic" w:hAnsi="Century Gothic" w:cs="Century Gothic"/>
          <w:sz w:val="21"/>
          <w:szCs w:val="21"/>
        </w:rPr>
        <w:t xml:space="preserve">El o </w:t>
      </w:r>
      <w:proofErr w:type="gramStart"/>
      <w:r>
        <w:rPr>
          <w:rFonts w:ascii="Century Gothic" w:eastAsia="Century Gothic" w:hAnsi="Century Gothic" w:cs="Century Gothic"/>
          <w:sz w:val="21"/>
          <w:szCs w:val="21"/>
        </w:rPr>
        <w:t>los escrito</w:t>
      </w:r>
      <w:proofErr w:type="gramEnd"/>
      <w:r>
        <w:rPr>
          <w:rFonts w:ascii="Century Gothic" w:eastAsia="Century Gothic" w:hAnsi="Century Gothic" w:cs="Century Gothic"/>
          <w:sz w:val="21"/>
          <w:szCs w:val="21"/>
        </w:rPr>
        <w:t>/s deberá/n estar rubricado/s en su margen derecho e incluir firma autógrafa de la persona aspirante.</w:t>
      </w:r>
    </w:p>
    <w:p w14:paraId="0BEF329F" w14:textId="77777777" w:rsidR="00627C05" w:rsidRDefault="00000000">
      <w:pPr>
        <w:numPr>
          <w:ilvl w:val="0"/>
          <w:numId w:val="6"/>
        </w:numPr>
        <w:pBdr>
          <w:top w:val="nil"/>
          <w:left w:val="nil"/>
          <w:bottom w:val="nil"/>
          <w:right w:val="nil"/>
          <w:between w:val="nil"/>
        </w:pBdr>
        <w:ind w:right="-93"/>
        <w:jc w:val="both"/>
        <w:rPr>
          <w:rFonts w:ascii="Century Gothic" w:eastAsia="Century Gothic" w:hAnsi="Century Gothic" w:cs="Century Gothic"/>
          <w:sz w:val="21"/>
          <w:szCs w:val="21"/>
        </w:rPr>
      </w:pPr>
      <w:r>
        <w:rPr>
          <w:rFonts w:ascii="Century Gothic" w:eastAsia="Century Gothic" w:hAnsi="Century Gothic" w:cs="Century Gothic"/>
          <w:color w:val="000000"/>
          <w:sz w:val="21"/>
          <w:szCs w:val="21"/>
        </w:rPr>
        <w:t xml:space="preserve">Carta en la que la persona </w:t>
      </w:r>
      <w:r>
        <w:rPr>
          <w:rFonts w:ascii="Century Gothic" w:eastAsia="Century Gothic" w:hAnsi="Century Gothic" w:cs="Century Gothic"/>
          <w:sz w:val="21"/>
          <w:szCs w:val="21"/>
        </w:rPr>
        <w:t>aspirante</w:t>
      </w:r>
      <w:r>
        <w:rPr>
          <w:rFonts w:ascii="Century Gothic" w:eastAsia="Century Gothic" w:hAnsi="Century Gothic" w:cs="Century Gothic"/>
          <w:color w:val="000000"/>
          <w:sz w:val="21"/>
          <w:szCs w:val="21"/>
        </w:rPr>
        <w:t xml:space="preserve"> manifieste, bajo protesta de decir </w:t>
      </w:r>
      <w:r>
        <w:rPr>
          <w:rFonts w:ascii="Century Gothic" w:eastAsia="Century Gothic" w:hAnsi="Century Gothic" w:cs="Century Gothic"/>
          <w:sz w:val="21"/>
          <w:szCs w:val="21"/>
        </w:rPr>
        <w:t>verdad, no haber</w:t>
      </w:r>
      <w:r>
        <w:rPr>
          <w:rFonts w:ascii="Century Gothic" w:eastAsia="Century Gothic" w:hAnsi="Century Gothic" w:cs="Century Gothic"/>
          <w:color w:val="000000"/>
          <w:sz w:val="21"/>
          <w:szCs w:val="21"/>
        </w:rPr>
        <w:t xml:space="preserve"> cometido actos relacionados con violencia de género, así como ninguno de los siguientes supuestos:</w:t>
      </w:r>
    </w:p>
    <w:p w14:paraId="7275B61B" w14:textId="77777777" w:rsidR="00627C05" w:rsidRDefault="00000000">
      <w:pPr>
        <w:numPr>
          <w:ilvl w:val="0"/>
          <w:numId w:val="2"/>
        </w:numPr>
        <w:pBdr>
          <w:top w:val="nil"/>
          <w:left w:val="nil"/>
          <w:bottom w:val="nil"/>
          <w:right w:val="nil"/>
          <w:between w:val="nil"/>
        </w:pBdr>
        <w:ind w:left="1417" w:right="-93"/>
        <w:jc w:val="both"/>
        <w:rPr>
          <w:rFonts w:ascii="Century Gothic" w:eastAsia="Century Gothic" w:hAnsi="Century Gothic" w:cs="Century Gothic"/>
          <w:color w:val="000000"/>
          <w:sz w:val="21"/>
          <w:szCs w:val="21"/>
        </w:rPr>
      </w:pPr>
      <w:r>
        <w:rPr>
          <w:rFonts w:ascii="Century Gothic" w:eastAsia="Century Gothic" w:hAnsi="Century Gothic" w:cs="Century Gothic"/>
          <w:color w:val="000000"/>
          <w:sz w:val="21"/>
          <w:szCs w:val="21"/>
        </w:rPr>
        <w:t>No haber sido condenado (a), o sancionado (a) mediante resolución firme por violencia familiar y/o doméstica, o cualquier agresión de género en el ámbito privado o público.</w:t>
      </w:r>
    </w:p>
    <w:p w14:paraId="28D81A6D" w14:textId="77777777" w:rsidR="00627C05" w:rsidRDefault="00000000">
      <w:pPr>
        <w:numPr>
          <w:ilvl w:val="0"/>
          <w:numId w:val="2"/>
        </w:numPr>
        <w:pBdr>
          <w:top w:val="nil"/>
          <w:left w:val="nil"/>
          <w:bottom w:val="nil"/>
          <w:right w:val="nil"/>
          <w:between w:val="nil"/>
        </w:pBdr>
        <w:tabs>
          <w:tab w:val="left" w:pos="821"/>
        </w:tabs>
        <w:ind w:left="1417" w:right="-93"/>
        <w:jc w:val="both"/>
        <w:rPr>
          <w:rFonts w:ascii="Century Gothic" w:eastAsia="Century Gothic" w:hAnsi="Century Gothic" w:cs="Century Gothic"/>
          <w:color w:val="000000"/>
          <w:sz w:val="21"/>
          <w:szCs w:val="21"/>
        </w:rPr>
      </w:pPr>
      <w:r>
        <w:rPr>
          <w:rFonts w:ascii="Century Gothic" w:eastAsia="Century Gothic" w:hAnsi="Century Gothic" w:cs="Century Gothic"/>
          <w:color w:val="000000"/>
          <w:sz w:val="21"/>
          <w:szCs w:val="21"/>
        </w:rPr>
        <w:t>No haber sido condenado (a), o sancionado (a) mediante resolución firme por delitos sexuales, contra la libertad sexual o la intimidad corporal.</w:t>
      </w:r>
    </w:p>
    <w:p w14:paraId="057AA1BE" w14:textId="77777777" w:rsidR="00627C05" w:rsidRDefault="00000000">
      <w:pPr>
        <w:numPr>
          <w:ilvl w:val="0"/>
          <w:numId w:val="2"/>
        </w:numPr>
        <w:pBdr>
          <w:top w:val="nil"/>
          <w:left w:val="nil"/>
          <w:bottom w:val="nil"/>
          <w:right w:val="nil"/>
          <w:between w:val="nil"/>
        </w:pBdr>
        <w:tabs>
          <w:tab w:val="left" w:pos="821"/>
        </w:tabs>
        <w:ind w:left="1417" w:right="-93"/>
        <w:jc w:val="both"/>
        <w:rPr>
          <w:rFonts w:ascii="Century Gothic" w:eastAsia="Century Gothic" w:hAnsi="Century Gothic" w:cs="Century Gothic"/>
          <w:color w:val="000000"/>
          <w:sz w:val="21"/>
          <w:szCs w:val="21"/>
        </w:rPr>
      </w:pPr>
      <w:r>
        <w:rPr>
          <w:rFonts w:ascii="Century Gothic" w:eastAsia="Century Gothic" w:hAnsi="Century Gothic" w:cs="Century Gothic"/>
          <w:color w:val="000000"/>
          <w:sz w:val="21"/>
          <w:szCs w:val="21"/>
        </w:rPr>
        <w:t>No haber sido condenado (a) o sancionado (a) mediante resolución firme como deudor(a) alimentario(a) moroso(a).</w:t>
      </w:r>
      <w:r>
        <w:rPr>
          <w:rFonts w:ascii="Century Gothic" w:eastAsia="Century Gothic" w:hAnsi="Century Gothic" w:cs="Century Gothic"/>
          <w:i/>
          <w:sz w:val="21"/>
          <w:szCs w:val="21"/>
          <w:vertAlign w:val="superscript"/>
        </w:rPr>
        <w:footnoteReference w:id="5"/>
      </w:r>
    </w:p>
    <w:p w14:paraId="4C9B96D7" w14:textId="77777777" w:rsidR="00627C05" w:rsidRDefault="00000000">
      <w:pPr>
        <w:ind w:left="708" w:right="-93"/>
        <w:jc w:val="both"/>
        <w:rPr>
          <w:rFonts w:ascii="Century Gothic" w:eastAsia="Century Gothic" w:hAnsi="Century Gothic" w:cs="Century Gothic"/>
          <w:sz w:val="21"/>
          <w:szCs w:val="21"/>
        </w:rPr>
      </w:pPr>
      <w:r>
        <w:rPr>
          <w:rFonts w:ascii="Century Gothic" w:eastAsia="Century Gothic" w:hAnsi="Century Gothic" w:cs="Century Gothic"/>
          <w:sz w:val="21"/>
          <w:szCs w:val="21"/>
        </w:rPr>
        <w:t xml:space="preserve">En caso de encontrarse en el supuesto del inciso anterior, pero estar al corriente de sus obligaciones como deudor(a) alimentario(a), entonces la manifestación deberá hacerse en el sentido siguiente: </w:t>
      </w:r>
      <w:r>
        <w:rPr>
          <w:rFonts w:ascii="Century Gothic" w:eastAsia="Century Gothic" w:hAnsi="Century Gothic" w:cs="Century Gothic"/>
          <w:i/>
          <w:sz w:val="21"/>
          <w:szCs w:val="21"/>
        </w:rPr>
        <w:t xml:space="preserve">Si bien fui condenado(a) mediante resolución firme como deudor(a) alimentario(a) moroso(a), lo cierto es que actualmente me encuentro al corriente del pago de todas mis obligaciones alimentarias y no me encuentro inscrito(a) en algún padrón de personas deudoras alimentarias vigente.  </w:t>
      </w:r>
      <w:r>
        <w:rPr>
          <w:rFonts w:ascii="Century Gothic" w:eastAsia="Century Gothic" w:hAnsi="Century Gothic" w:cs="Century Gothic"/>
          <w:sz w:val="21"/>
          <w:szCs w:val="21"/>
        </w:rPr>
        <w:t xml:space="preserve">El o </w:t>
      </w:r>
      <w:proofErr w:type="gramStart"/>
      <w:r>
        <w:rPr>
          <w:rFonts w:ascii="Century Gothic" w:eastAsia="Century Gothic" w:hAnsi="Century Gothic" w:cs="Century Gothic"/>
          <w:sz w:val="21"/>
          <w:szCs w:val="21"/>
        </w:rPr>
        <w:t>los escrito</w:t>
      </w:r>
      <w:proofErr w:type="gramEnd"/>
      <w:r>
        <w:rPr>
          <w:rFonts w:ascii="Century Gothic" w:eastAsia="Century Gothic" w:hAnsi="Century Gothic" w:cs="Century Gothic"/>
          <w:sz w:val="21"/>
          <w:szCs w:val="21"/>
        </w:rPr>
        <w:t>/s deberá/n estar rubricado/s en su margen derecho e incluir firma autógrafa de la persona aspirante.</w:t>
      </w:r>
    </w:p>
    <w:p w14:paraId="07F6A561" w14:textId="77777777" w:rsidR="00627C05" w:rsidRDefault="00000000">
      <w:pPr>
        <w:numPr>
          <w:ilvl w:val="0"/>
          <w:numId w:val="6"/>
        </w:numPr>
        <w:ind w:right="-93"/>
        <w:jc w:val="both"/>
        <w:rPr>
          <w:rFonts w:ascii="Century Gothic" w:eastAsia="Century Gothic" w:hAnsi="Century Gothic" w:cs="Century Gothic"/>
          <w:sz w:val="21"/>
          <w:szCs w:val="21"/>
        </w:rPr>
      </w:pPr>
      <w:r>
        <w:rPr>
          <w:rFonts w:ascii="Century Gothic" w:eastAsia="Century Gothic" w:hAnsi="Century Gothic" w:cs="Century Gothic"/>
          <w:sz w:val="21"/>
          <w:szCs w:val="21"/>
        </w:rPr>
        <w:t xml:space="preserve">Carta de consentimiento en la que expresan que han leído y aceptan las bases, procedimientos, términos, condiciones, determinaciones, deliberaciones y resultados que deriven de la presente Convocatoria, así como de su metodología de evaluación y que están de acuerdo en hacer versiones públicas de los documentos entregados durante el proceso de selección, así como para que las sesiones públicas en las que participen y sus evaluaciones resultantes del proceso, sean difundidas en los medios que para tales efectos disponga el CPC. (Anexo 3) El o </w:t>
      </w:r>
      <w:proofErr w:type="gramStart"/>
      <w:r>
        <w:rPr>
          <w:rFonts w:ascii="Century Gothic" w:eastAsia="Century Gothic" w:hAnsi="Century Gothic" w:cs="Century Gothic"/>
          <w:sz w:val="21"/>
          <w:szCs w:val="21"/>
        </w:rPr>
        <w:t>los escrito</w:t>
      </w:r>
      <w:proofErr w:type="gramEnd"/>
      <w:r>
        <w:rPr>
          <w:rFonts w:ascii="Century Gothic" w:eastAsia="Century Gothic" w:hAnsi="Century Gothic" w:cs="Century Gothic"/>
          <w:sz w:val="21"/>
          <w:szCs w:val="21"/>
        </w:rPr>
        <w:t xml:space="preserve">/s deberá/n estar rubricado/s en su margen derecho e incluir firma autógrafa de la persona aspirante. </w:t>
      </w:r>
    </w:p>
    <w:p w14:paraId="1C33239A" w14:textId="77777777" w:rsidR="00627C05" w:rsidRDefault="00000000">
      <w:pPr>
        <w:numPr>
          <w:ilvl w:val="0"/>
          <w:numId w:val="6"/>
        </w:numPr>
        <w:spacing w:after="300"/>
        <w:jc w:val="both"/>
        <w:rPr>
          <w:rFonts w:ascii="Century Gothic" w:eastAsia="Century Gothic" w:hAnsi="Century Gothic" w:cs="Century Gothic"/>
          <w:sz w:val="21"/>
          <w:szCs w:val="21"/>
        </w:rPr>
      </w:pPr>
      <w:r>
        <w:rPr>
          <w:rFonts w:ascii="Century Gothic" w:eastAsia="Century Gothic" w:hAnsi="Century Gothic" w:cs="Century Gothic"/>
          <w:sz w:val="21"/>
          <w:szCs w:val="21"/>
        </w:rPr>
        <w:t xml:space="preserve">Aviso de privacidad integral para formar la terna de personas candidatas a ocupar el cargo de titular de la Secretaría Ejecutiva del Sistema Anticorrupción del Estado de Quintana Roo. (Anexo 4) </w:t>
      </w:r>
    </w:p>
    <w:p w14:paraId="70E9889C" w14:textId="2EC81233" w:rsidR="00627C05" w:rsidRDefault="00000000">
      <w:pPr>
        <w:spacing w:after="300" w:line="276" w:lineRule="auto"/>
        <w:jc w:val="both"/>
        <w:rPr>
          <w:rFonts w:ascii="Century Gothic" w:eastAsia="Century Gothic" w:hAnsi="Century Gothic" w:cs="Century Gothic"/>
          <w:sz w:val="21"/>
          <w:szCs w:val="21"/>
        </w:rPr>
      </w:pPr>
      <w:r>
        <w:rPr>
          <w:rFonts w:ascii="Century Gothic" w:eastAsia="Century Gothic" w:hAnsi="Century Gothic" w:cs="Century Gothic"/>
          <w:sz w:val="21"/>
          <w:szCs w:val="21"/>
        </w:rPr>
        <w:t xml:space="preserve">Los originales de los documentos podrán ser requeridos en cualquier momento del proceso para realizar su cotejo con las copias simples exhibidas, así como información </w:t>
      </w:r>
      <w:r>
        <w:rPr>
          <w:rFonts w:ascii="Century Gothic" w:eastAsia="Century Gothic" w:hAnsi="Century Gothic" w:cs="Century Gothic"/>
          <w:sz w:val="21"/>
          <w:szCs w:val="21"/>
        </w:rPr>
        <w:lastRenderedPageBreak/>
        <w:t>aclaratoria que el CPC considere pertinente con base en la documentación proporcionada. Estas solicitudes se enviarán al correo electrónico de la persona</w:t>
      </w:r>
      <w:r w:rsidR="00F825D9">
        <w:rPr>
          <w:rFonts w:ascii="Century Gothic" w:eastAsia="Century Gothic" w:hAnsi="Century Gothic" w:cs="Century Gothic"/>
          <w:sz w:val="21"/>
          <w:szCs w:val="21"/>
        </w:rPr>
        <w:t xml:space="preserve"> </w:t>
      </w:r>
      <w:r>
        <w:rPr>
          <w:rFonts w:ascii="Century Gothic" w:eastAsia="Century Gothic" w:hAnsi="Century Gothic" w:cs="Century Gothic"/>
          <w:sz w:val="21"/>
          <w:szCs w:val="21"/>
        </w:rPr>
        <w:t>postulante y serán recibidas a través del mismo medio.</w:t>
      </w:r>
    </w:p>
    <w:p w14:paraId="4A2AB551" w14:textId="77777777" w:rsidR="00627C05" w:rsidRDefault="00000000">
      <w:pPr>
        <w:spacing w:after="300" w:line="276" w:lineRule="auto"/>
        <w:jc w:val="both"/>
        <w:rPr>
          <w:rFonts w:ascii="Century Gothic" w:eastAsia="Century Gothic" w:hAnsi="Century Gothic" w:cs="Century Gothic"/>
          <w:sz w:val="21"/>
          <w:szCs w:val="21"/>
        </w:rPr>
      </w:pPr>
      <w:r>
        <w:rPr>
          <w:rFonts w:ascii="Century Gothic" w:eastAsia="Century Gothic" w:hAnsi="Century Gothic" w:cs="Century Gothic"/>
          <w:sz w:val="21"/>
          <w:szCs w:val="21"/>
        </w:rPr>
        <w:t xml:space="preserve">Las personas aspirantes contarán con un máximo de 72 horas para dar satisfacción a la aclaración solicitada. En aquellas postulaciones recibidas en un plazo menor a las 72 horas previas al cierre de la convocatoria, el </w:t>
      </w:r>
      <w:proofErr w:type="gramStart"/>
      <w:r>
        <w:rPr>
          <w:rFonts w:ascii="Century Gothic" w:eastAsia="Century Gothic" w:hAnsi="Century Gothic" w:cs="Century Gothic"/>
          <w:sz w:val="21"/>
          <w:szCs w:val="21"/>
        </w:rPr>
        <w:t>CPC  no</w:t>
      </w:r>
      <w:proofErr w:type="gramEnd"/>
      <w:r>
        <w:rPr>
          <w:rFonts w:ascii="Century Gothic" w:eastAsia="Century Gothic" w:hAnsi="Century Gothic" w:cs="Century Gothic"/>
          <w:sz w:val="21"/>
          <w:szCs w:val="21"/>
        </w:rPr>
        <w:t xml:space="preserve"> solicitará aclaración alguna.</w:t>
      </w:r>
      <w:r>
        <w:rPr>
          <w:rFonts w:ascii="Century Gothic" w:eastAsia="Century Gothic" w:hAnsi="Century Gothic" w:cs="Century Gothic"/>
          <w:sz w:val="21"/>
          <w:szCs w:val="21"/>
          <w:vertAlign w:val="superscript"/>
        </w:rPr>
        <w:footnoteReference w:id="6"/>
      </w:r>
      <w:r>
        <w:rPr>
          <w:rFonts w:ascii="Century Gothic" w:eastAsia="Century Gothic" w:hAnsi="Century Gothic" w:cs="Century Gothic"/>
          <w:sz w:val="21"/>
          <w:szCs w:val="21"/>
        </w:rPr>
        <w:t xml:space="preserve"> </w:t>
      </w:r>
    </w:p>
    <w:p w14:paraId="637ACCF3" w14:textId="77777777" w:rsidR="00627C05" w:rsidRDefault="00000000">
      <w:pPr>
        <w:spacing w:line="276" w:lineRule="auto"/>
        <w:jc w:val="both"/>
        <w:rPr>
          <w:rFonts w:ascii="Century Gothic" w:eastAsia="Century Gothic" w:hAnsi="Century Gothic" w:cs="Century Gothic"/>
          <w:b/>
          <w:sz w:val="21"/>
          <w:szCs w:val="21"/>
        </w:rPr>
      </w:pPr>
      <w:r>
        <w:rPr>
          <w:rFonts w:ascii="Century Gothic" w:eastAsia="Century Gothic" w:hAnsi="Century Gothic" w:cs="Century Gothic"/>
          <w:b/>
          <w:sz w:val="21"/>
          <w:szCs w:val="21"/>
        </w:rPr>
        <w:t>TERCERA</w:t>
      </w:r>
      <w:r>
        <w:rPr>
          <w:rFonts w:ascii="Century Gothic" w:eastAsia="Century Gothic" w:hAnsi="Century Gothic" w:cs="Century Gothic"/>
          <w:b/>
          <w:color w:val="000000"/>
          <w:sz w:val="21"/>
          <w:szCs w:val="21"/>
        </w:rPr>
        <w:t xml:space="preserve">. </w:t>
      </w:r>
      <w:r>
        <w:rPr>
          <w:rFonts w:ascii="Century Gothic" w:eastAsia="Century Gothic" w:hAnsi="Century Gothic" w:cs="Century Gothic"/>
          <w:b/>
          <w:sz w:val="21"/>
          <w:szCs w:val="21"/>
        </w:rPr>
        <w:t>Otros requisitos e Instrumento de Evaluación</w:t>
      </w:r>
    </w:p>
    <w:p w14:paraId="79156F06" w14:textId="77777777" w:rsidR="00627C05" w:rsidRDefault="00000000">
      <w:pPr>
        <w:spacing w:line="276" w:lineRule="auto"/>
        <w:jc w:val="both"/>
        <w:rPr>
          <w:rFonts w:ascii="Century Gothic" w:eastAsia="Century Gothic" w:hAnsi="Century Gothic" w:cs="Century Gothic"/>
          <w:sz w:val="21"/>
          <w:szCs w:val="21"/>
          <w:highlight w:val="white"/>
        </w:rPr>
      </w:pPr>
      <w:r>
        <w:rPr>
          <w:rFonts w:ascii="Century Gothic" w:eastAsia="Century Gothic" w:hAnsi="Century Gothic" w:cs="Century Gothic"/>
          <w:color w:val="000000"/>
          <w:sz w:val="21"/>
          <w:szCs w:val="21"/>
          <w:highlight w:val="white"/>
        </w:rPr>
        <w:t xml:space="preserve">Además de los requisitos indicados en el artículo 34 de la Ley </w:t>
      </w:r>
      <w:r>
        <w:rPr>
          <w:rFonts w:ascii="Century Gothic" w:eastAsia="Century Gothic" w:hAnsi="Century Gothic" w:cs="Century Gothic"/>
          <w:sz w:val="21"/>
          <w:szCs w:val="21"/>
          <w:highlight w:val="white"/>
        </w:rPr>
        <w:t>del SAEQROO</w:t>
      </w:r>
      <w:r>
        <w:rPr>
          <w:rFonts w:ascii="Century Gothic" w:eastAsia="Century Gothic" w:hAnsi="Century Gothic" w:cs="Century Gothic"/>
          <w:color w:val="000000"/>
          <w:sz w:val="21"/>
          <w:szCs w:val="21"/>
          <w:highlight w:val="white"/>
        </w:rPr>
        <w:t>, el CPC verificará que las personas aspirantes cumplan con los atributos indicados en los apartados 1, 2, 3</w:t>
      </w:r>
      <w:r>
        <w:rPr>
          <w:rFonts w:ascii="Century Gothic" w:eastAsia="Century Gothic" w:hAnsi="Century Gothic" w:cs="Century Gothic"/>
          <w:sz w:val="21"/>
          <w:szCs w:val="21"/>
          <w:highlight w:val="white"/>
        </w:rPr>
        <w:t>,</w:t>
      </w:r>
      <w:r>
        <w:rPr>
          <w:rFonts w:ascii="Century Gothic" w:eastAsia="Century Gothic" w:hAnsi="Century Gothic" w:cs="Century Gothic"/>
          <w:color w:val="000000"/>
          <w:sz w:val="21"/>
          <w:szCs w:val="21"/>
          <w:highlight w:val="white"/>
        </w:rPr>
        <w:t xml:space="preserve"> 4</w:t>
      </w:r>
      <w:r>
        <w:rPr>
          <w:rFonts w:ascii="Century Gothic" w:eastAsia="Century Gothic" w:hAnsi="Century Gothic" w:cs="Century Gothic"/>
          <w:sz w:val="21"/>
          <w:szCs w:val="21"/>
          <w:highlight w:val="white"/>
        </w:rPr>
        <w:t>, 5 y 6</w:t>
      </w:r>
      <w:r>
        <w:rPr>
          <w:rFonts w:ascii="Century Gothic" w:eastAsia="Century Gothic" w:hAnsi="Century Gothic" w:cs="Century Gothic"/>
          <w:color w:val="000000"/>
          <w:sz w:val="21"/>
          <w:szCs w:val="21"/>
          <w:highlight w:val="white"/>
        </w:rPr>
        <w:t xml:space="preserve"> del Instrumento de </w:t>
      </w:r>
      <w:r>
        <w:rPr>
          <w:rFonts w:ascii="Century Gothic" w:eastAsia="Century Gothic" w:hAnsi="Century Gothic" w:cs="Century Gothic"/>
          <w:sz w:val="21"/>
          <w:szCs w:val="21"/>
          <w:highlight w:val="white"/>
        </w:rPr>
        <w:t>e</w:t>
      </w:r>
      <w:r>
        <w:rPr>
          <w:rFonts w:ascii="Century Gothic" w:eastAsia="Century Gothic" w:hAnsi="Century Gothic" w:cs="Century Gothic"/>
          <w:color w:val="000000"/>
          <w:sz w:val="21"/>
          <w:szCs w:val="21"/>
          <w:highlight w:val="white"/>
        </w:rPr>
        <w:t>valuación diseñado para la calificación de aspirantes en el marco de la metodología de evaluación.</w:t>
      </w:r>
    </w:p>
    <w:p w14:paraId="465136D6" w14:textId="77777777" w:rsidR="00627C05" w:rsidRDefault="00627C05">
      <w:pPr>
        <w:pBdr>
          <w:top w:val="nil"/>
          <w:left w:val="nil"/>
          <w:bottom w:val="nil"/>
          <w:right w:val="nil"/>
          <w:between w:val="nil"/>
        </w:pBdr>
        <w:ind w:right="-93"/>
        <w:jc w:val="both"/>
        <w:rPr>
          <w:rFonts w:ascii="Century Gothic" w:eastAsia="Century Gothic" w:hAnsi="Century Gothic" w:cs="Century Gothic"/>
          <w:b/>
          <w:sz w:val="21"/>
          <w:szCs w:val="21"/>
        </w:rPr>
      </w:pPr>
    </w:p>
    <w:p w14:paraId="3F3388CB" w14:textId="77777777" w:rsidR="00F825D9" w:rsidRDefault="00F825D9">
      <w:pPr>
        <w:pBdr>
          <w:top w:val="nil"/>
          <w:left w:val="nil"/>
          <w:bottom w:val="nil"/>
          <w:right w:val="nil"/>
          <w:between w:val="nil"/>
        </w:pBdr>
        <w:ind w:right="-93"/>
        <w:jc w:val="both"/>
        <w:rPr>
          <w:rFonts w:ascii="Century Gothic" w:eastAsia="Century Gothic" w:hAnsi="Century Gothic" w:cs="Century Gothic"/>
          <w:b/>
          <w:sz w:val="21"/>
          <w:szCs w:val="21"/>
        </w:rPr>
      </w:pPr>
    </w:p>
    <w:p w14:paraId="34B17ABF" w14:textId="5A425E96" w:rsidR="00627C05" w:rsidRDefault="00000000">
      <w:pPr>
        <w:pBdr>
          <w:top w:val="nil"/>
          <w:left w:val="nil"/>
          <w:bottom w:val="nil"/>
          <w:right w:val="nil"/>
          <w:between w:val="nil"/>
        </w:pBdr>
        <w:ind w:right="-93"/>
        <w:jc w:val="both"/>
        <w:rPr>
          <w:rFonts w:ascii="Century Gothic" w:eastAsia="Century Gothic" w:hAnsi="Century Gothic" w:cs="Century Gothic"/>
          <w:b/>
          <w:sz w:val="21"/>
          <w:szCs w:val="21"/>
        </w:rPr>
      </w:pPr>
      <w:r>
        <w:rPr>
          <w:rFonts w:ascii="Century Gothic" w:eastAsia="Century Gothic" w:hAnsi="Century Gothic" w:cs="Century Gothic"/>
          <w:b/>
          <w:sz w:val="21"/>
          <w:szCs w:val="21"/>
        </w:rPr>
        <w:t>CUARTA. Presentación de las postulaciones</w:t>
      </w:r>
    </w:p>
    <w:p w14:paraId="17BEC469" w14:textId="77777777" w:rsidR="00627C05" w:rsidRDefault="00000000">
      <w:pPr>
        <w:pBdr>
          <w:top w:val="nil"/>
          <w:left w:val="nil"/>
          <w:bottom w:val="nil"/>
          <w:right w:val="nil"/>
          <w:between w:val="nil"/>
        </w:pBdr>
        <w:ind w:right="-93"/>
        <w:jc w:val="both"/>
        <w:rPr>
          <w:rFonts w:ascii="Century Gothic" w:eastAsia="Century Gothic" w:hAnsi="Century Gothic" w:cs="Century Gothic"/>
          <w:sz w:val="21"/>
          <w:szCs w:val="21"/>
        </w:rPr>
      </w:pPr>
      <w:r>
        <w:rPr>
          <w:rFonts w:ascii="Century Gothic" w:eastAsia="Century Gothic" w:hAnsi="Century Gothic" w:cs="Century Gothic"/>
          <w:sz w:val="21"/>
          <w:szCs w:val="21"/>
        </w:rPr>
        <w:t xml:space="preserve">Los documentos requeridos en la Base SEGUNDA de la presente </w:t>
      </w:r>
      <w:proofErr w:type="gramStart"/>
      <w:r>
        <w:rPr>
          <w:rFonts w:ascii="Century Gothic" w:eastAsia="Century Gothic" w:hAnsi="Century Gothic" w:cs="Century Gothic"/>
          <w:sz w:val="21"/>
          <w:szCs w:val="21"/>
        </w:rPr>
        <w:t>Convocatoria,</w:t>
      </w:r>
      <w:proofErr w:type="gramEnd"/>
      <w:r>
        <w:rPr>
          <w:rFonts w:ascii="Century Gothic" w:eastAsia="Century Gothic" w:hAnsi="Century Gothic" w:cs="Century Gothic"/>
          <w:sz w:val="21"/>
          <w:szCs w:val="21"/>
        </w:rPr>
        <w:t xml:space="preserve"> deberán enviarse al correo electrónico del CPC: </w:t>
      </w:r>
      <w:hyperlink r:id="rId8">
        <w:r>
          <w:rPr>
            <w:rFonts w:ascii="Century Gothic" w:eastAsia="Century Gothic" w:hAnsi="Century Gothic" w:cs="Century Gothic"/>
            <w:sz w:val="21"/>
            <w:szCs w:val="21"/>
            <w:u w:val="single"/>
          </w:rPr>
          <w:t>cpc.qroo@gmail.com</w:t>
        </w:r>
      </w:hyperlink>
      <w:r>
        <w:rPr>
          <w:rFonts w:ascii="Century Gothic" w:eastAsia="Century Gothic" w:hAnsi="Century Gothic" w:cs="Century Gothic"/>
          <w:sz w:val="21"/>
          <w:szCs w:val="21"/>
        </w:rPr>
        <w:t xml:space="preserve">, señalando, para cada archivo, el número de requisito al que corresponde. </w:t>
      </w:r>
    </w:p>
    <w:p w14:paraId="0C81AD84" w14:textId="77777777" w:rsidR="00627C05" w:rsidRDefault="00000000">
      <w:pPr>
        <w:jc w:val="both"/>
        <w:rPr>
          <w:rFonts w:ascii="Century Gothic" w:eastAsia="Century Gothic" w:hAnsi="Century Gothic" w:cs="Century Gothic"/>
          <w:sz w:val="21"/>
          <w:szCs w:val="21"/>
        </w:rPr>
      </w:pPr>
      <w:r>
        <w:rPr>
          <w:rFonts w:ascii="Century Gothic" w:eastAsia="Century Gothic" w:hAnsi="Century Gothic" w:cs="Century Gothic"/>
          <w:sz w:val="21"/>
          <w:szCs w:val="21"/>
        </w:rPr>
        <w:t>Es decir, cada documento debe ser nombrado indicando el número de requisito de la convocatoria, seguido del nombre del documento, por ejemplo:</w:t>
      </w:r>
    </w:p>
    <w:p w14:paraId="65EA4B5C" w14:textId="77777777" w:rsidR="00627C05" w:rsidRDefault="00000000">
      <w:pPr>
        <w:ind w:left="1080" w:hanging="360"/>
        <w:jc w:val="both"/>
        <w:rPr>
          <w:rFonts w:ascii="Century Gothic" w:eastAsia="Century Gothic" w:hAnsi="Century Gothic" w:cs="Century Gothic"/>
          <w:sz w:val="21"/>
          <w:szCs w:val="21"/>
        </w:rPr>
      </w:pPr>
      <w:r>
        <w:rPr>
          <w:rFonts w:ascii="Century Gothic" w:eastAsia="Century Gothic" w:hAnsi="Century Gothic" w:cs="Century Gothic"/>
          <w:sz w:val="21"/>
          <w:szCs w:val="21"/>
        </w:rPr>
        <w:t>1.</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Century Gothic" w:eastAsia="Century Gothic" w:hAnsi="Century Gothic" w:cs="Century Gothic"/>
          <w:sz w:val="21"/>
          <w:szCs w:val="21"/>
        </w:rPr>
        <w:t>Carta de postulación</w:t>
      </w:r>
    </w:p>
    <w:p w14:paraId="685A0147" w14:textId="77777777" w:rsidR="00627C05" w:rsidRDefault="00000000">
      <w:pPr>
        <w:ind w:left="1080" w:hanging="360"/>
        <w:jc w:val="both"/>
        <w:rPr>
          <w:rFonts w:ascii="Century Gothic" w:eastAsia="Century Gothic" w:hAnsi="Century Gothic" w:cs="Century Gothic"/>
          <w:sz w:val="21"/>
          <w:szCs w:val="21"/>
        </w:rPr>
      </w:pPr>
      <w:r>
        <w:rPr>
          <w:rFonts w:ascii="Century Gothic" w:eastAsia="Century Gothic" w:hAnsi="Century Gothic" w:cs="Century Gothic"/>
          <w:sz w:val="21"/>
          <w:szCs w:val="21"/>
        </w:rPr>
        <w:t>2.</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Century Gothic" w:eastAsia="Century Gothic" w:hAnsi="Century Gothic" w:cs="Century Gothic"/>
          <w:sz w:val="21"/>
          <w:szCs w:val="21"/>
        </w:rPr>
        <w:t>Currículum Vitae</w:t>
      </w:r>
    </w:p>
    <w:p w14:paraId="5FF00078" w14:textId="77777777" w:rsidR="00627C05" w:rsidRDefault="00627C05">
      <w:pPr>
        <w:pBdr>
          <w:top w:val="nil"/>
          <w:left w:val="nil"/>
          <w:bottom w:val="nil"/>
          <w:right w:val="nil"/>
          <w:between w:val="nil"/>
        </w:pBdr>
        <w:ind w:right="-93"/>
        <w:jc w:val="both"/>
        <w:rPr>
          <w:rFonts w:ascii="Century Gothic" w:eastAsia="Century Gothic" w:hAnsi="Century Gothic" w:cs="Century Gothic"/>
          <w:sz w:val="21"/>
          <w:szCs w:val="21"/>
        </w:rPr>
      </w:pPr>
    </w:p>
    <w:p w14:paraId="154EE937" w14:textId="77777777" w:rsidR="00627C05" w:rsidRDefault="00000000">
      <w:pPr>
        <w:pBdr>
          <w:top w:val="nil"/>
          <w:left w:val="nil"/>
          <w:bottom w:val="nil"/>
          <w:right w:val="nil"/>
          <w:between w:val="nil"/>
        </w:pBdr>
        <w:ind w:right="-93"/>
        <w:jc w:val="both"/>
        <w:rPr>
          <w:rFonts w:ascii="Century Gothic" w:eastAsia="Century Gothic" w:hAnsi="Century Gothic" w:cs="Century Gothic"/>
          <w:sz w:val="21"/>
          <w:szCs w:val="21"/>
        </w:rPr>
      </w:pPr>
      <w:r>
        <w:rPr>
          <w:rFonts w:ascii="Century Gothic" w:eastAsia="Century Gothic" w:hAnsi="Century Gothic" w:cs="Century Gothic"/>
          <w:sz w:val="21"/>
          <w:szCs w:val="21"/>
        </w:rPr>
        <w:t xml:space="preserve">Las postulaciones serán recibidas a partir de las </w:t>
      </w:r>
      <w:r>
        <w:rPr>
          <w:rFonts w:ascii="Century Gothic" w:eastAsia="Century Gothic" w:hAnsi="Century Gothic" w:cs="Century Gothic"/>
          <w:sz w:val="21"/>
          <w:szCs w:val="21"/>
          <w:highlight w:val="white"/>
        </w:rPr>
        <w:t>09:00 horas del día 4 de mayo de 2023 hasta las 23:59 horas del día 18 de junio de 2023</w:t>
      </w:r>
      <w:r>
        <w:rPr>
          <w:rFonts w:ascii="Century Gothic" w:eastAsia="Century Gothic" w:hAnsi="Century Gothic" w:cs="Century Gothic"/>
          <w:sz w:val="21"/>
          <w:szCs w:val="21"/>
        </w:rPr>
        <w:t>, horario Quintana Roo.</w:t>
      </w:r>
      <w:r>
        <w:rPr>
          <w:rFonts w:ascii="Century Gothic" w:eastAsia="Century Gothic" w:hAnsi="Century Gothic" w:cs="Century Gothic"/>
          <w:sz w:val="21"/>
          <w:szCs w:val="21"/>
          <w:vertAlign w:val="superscript"/>
        </w:rPr>
        <w:footnoteReference w:id="7"/>
      </w:r>
      <w:r>
        <w:rPr>
          <w:rFonts w:ascii="Century Gothic" w:eastAsia="Century Gothic" w:hAnsi="Century Gothic" w:cs="Century Gothic"/>
          <w:sz w:val="21"/>
          <w:szCs w:val="21"/>
        </w:rPr>
        <w:t xml:space="preserve"> </w:t>
      </w:r>
      <w:r>
        <w:rPr>
          <w:rFonts w:ascii="Century Gothic" w:eastAsia="Century Gothic" w:hAnsi="Century Gothic" w:cs="Century Gothic"/>
          <w:sz w:val="21"/>
          <w:szCs w:val="21"/>
          <w:vertAlign w:val="superscript"/>
        </w:rPr>
        <w:footnoteReference w:id="8"/>
      </w:r>
      <w:r>
        <w:rPr>
          <w:rFonts w:ascii="Century Gothic" w:eastAsia="Century Gothic" w:hAnsi="Century Gothic" w:cs="Century Gothic"/>
          <w:sz w:val="21"/>
          <w:szCs w:val="21"/>
        </w:rPr>
        <w:t xml:space="preserve"> </w:t>
      </w:r>
    </w:p>
    <w:p w14:paraId="0F55B2DB" w14:textId="77777777" w:rsidR="00627C05" w:rsidRDefault="00627C05">
      <w:pPr>
        <w:pBdr>
          <w:top w:val="nil"/>
          <w:left w:val="nil"/>
          <w:bottom w:val="nil"/>
          <w:right w:val="nil"/>
          <w:between w:val="nil"/>
        </w:pBdr>
        <w:ind w:right="-93"/>
        <w:rPr>
          <w:rFonts w:ascii="Century Gothic" w:eastAsia="Century Gothic" w:hAnsi="Century Gothic" w:cs="Century Gothic"/>
          <w:sz w:val="21"/>
          <w:szCs w:val="21"/>
        </w:rPr>
      </w:pPr>
    </w:p>
    <w:p w14:paraId="08112F84" w14:textId="77777777" w:rsidR="00F825D9" w:rsidRDefault="00F825D9">
      <w:pPr>
        <w:pStyle w:val="Ttulo1"/>
        <w:ind w:left="0" w:right="-93"/>
        <w:rPr>
          <w:rFonts w:ascii="Century Gothic" w:eastAsia="Century Gothic" w:hAnsi="Century Gothic" w:cs="Century Gothic"/>
          <w:sz w:val="21"/>
          <w:szCs w:val="21"/>
        </w:rPr>
      </w:pPr>
    </w:p>
    <w:p w14:paraId="65BB4729" w14:textId="3713A797" w:rsidR="00627C05" w:rsidRDefault="00000000">
      <w:pPr>
        <w:pStyle w:val="Ttulo1"/>
        <w:ind w:left="0" w:right="-93"/>
        <w:rPr>
          <w:rFonts w:ascii="Century Gothic" w:eastAsia="Century Gothic" w:hAnsi="Century Gothic" w:cs="Century Gothic"/>
          <w:sz w:val="21"/>
          <w:szCs w:val="21"/>
        </w:rPr>
      </w:pPr>
      <w:r>
        <w:rPr>
          <w:rFonts w:ascii="Century Gothic" w:eastAsia="Century Gothic" w:hAnsi="Century Gothic" w:cs="Century Gothic"/>
          <w:sz w:val="21"/>
          <w:szCs w:val="21"/>
        </w:rPr>
        <w:t>QUINTA. No presentación</w:t>
      </w:r>
    </w:p>
    <w:p w14:paraId="5CA5D44C" w14:textId="77777777" w:rsidR="00627C05" w:rsidRDefault="00000000">
      <w:pPr>
        <w:pBdr>
          <w:top w:val="nil"/>
          <w:left w:val="nil"/>
          <w:bottom w:val="nil"/>
          <w:right w:val="nil"/>
          <w:between w:val="nil"/>
        </w:pBdr>
        <w:ind w:right="-93"/>
        <w:jc w:val="both"/>
        <w:rPr>
          <w:rFonts w:ascii="Century Gothic" w:eastAsia="Century Gothic" w:hAnsi="Century Gothic" w:cs="Century Gothic"/>
          <w:sz w:val="21"/>
          <w:szCs w:val="21"/>
        </w:rPr>
      </w:pPr>
      <w:r>
        <w:rPr>
          <w:rFonts w:ascii="Century Gothic" w:eastAsia="Century Gothic" w:hAnsi="Century Gothic" w:cs="Century Gothic"/>
          <w:sz w:val="21"/>
          <w:szCs w:val="21"/>
        </w:rPr>
        <w:t xml:space="preserve">En caso de no presentar la totalidad de los documentos conforme se solicitan, </w:t>
      </w:r>
      <w:r>
        <w:rPr>
          <w:rFonts w:ascii="Century Gothic" w:eastAsia="Century Gothic" w:hAnsi="Century Gothic" w:cs="Century Gothic"/>
          <w:color w:val="000000"/>
          <w:sz w:val="21"/>
          <w:szCs w:val="21"/>
        </w:rPr>
        <w:t xml:space="preserve">o su presentación se realiza fuera del tiempo y forma establecidos en la presente Convocatoria, </w:t>
      </w:r>
      <w:r>
        <w:rPr>
          <w:rFonts w:ascii="Century Gothic" w:eastAsia="Century Gothic" w:hAnsi="Century Gothic" w:cs="Century Gothic"/>
          <w:sz w:val="21"/>
          <w:szCs w:val="21"/>
        </w:rPr>
        <w:t>se considerará como requisito NO PRESENTADO y será cancelada su postulación.</w:t>
      </w:r>
      <w:r>
        <w:rPr>
          <w:rFonts w:ascii="Century Gothic" w:eastAsia="Century Gothic" w:hAnsi="Century Gothic" w:cs="Century Gothic"/>
          <w:color w:val="000000"/>
          <w:sz w:val="21"/>
          <w:szCs w:val="21"/>
        </w:rPr>
        <w:t xml:space="preserve"> </w:t>
      </w:r>
    </w:p>
    <w:p w14:paraId="60CE50BB" w14:textId="77777777" w:rsidR="00627C05" w:rsidRDefault="00627C05">
      <w:pPr>
        <w:pBdr>
          <w:top w:val="nil"/>
          <w:left w:val="nil"/>
          <w:bottom w:val="nil"/>
          <w:right w:val="nil"/>
          <w:between w:val="nil"/>
        </w:pBdr>
        <w:ind w:right="-93"/>
        <w:rPr>
          <w:rFonts w:ascii="Century Gothic" w:eastAsia="Century Gothic" w:hAnsi="Century Gothic" w:cs="Century Gothic"/>
          <w:b/>
          <w:sz w:val="21"/>
          <w:szCs w:val="21"/>
        </w:rPr>
      </w:pPr>
    </w:p>
    <w:p w14:paraId="5BF5BF4F" w14:textId="77777777" w:rsidR="00F825D9" w:rsidRDefault="00F825D9">
      <w:pPr>
        <w:pBdr>
          <w:top w:val="nil"/>
          <w:left w:val="nil"/>
          <w:bottom w:val="nil"/>
          <w:right w:val="nil"/>
          <w:between w:val="nil"/>
        </w:pBdr>
        <w:ind w:right="-93"/>
        <w:rPr>
          <w:rFonts w:ascii="Century Gothic" w:eastAsia="Century Gothic" w:hAnsi="Century Gothic" w:cs="Century Gothic"/>
          <w:b/>
          <w:sz w:val="21"/>
          <w:szCs w:val="21"/>
        </w:rPr>
      </w:pPr>
    </w:p>
    <w:p w14:paraId="65FC1011" w14:textId="16587E66" w:rsidR="00627C05" w:rsidRDefault="00000000">
      <w:pPr>
        <w:pBdr>
          <w:top w:val="nil"/>
          <w:left w:val="nil"/>
          <w:bottom w:val="nil"/>
          <w:right w:val="nil"/>
          <w:between w:val="nil"/>
        </w:pBdr>
        <w:ind w:right="-93"/>
        <w:rPr>
          <w:rFonts w:ascii="Century Gothic" w:eastAsia="Century Gothic" w:hAnsi="Century Gothic" w:cs="Century Gothic"/>
          <w:b/>
          <w:sz w:val="21"/>
          <w:szCs w:val="21"/>
        </w:rPr>
      </w:pPr>
      <w:r>
        <w:rPr>
          <w:rFonts w:ascii="Century Gothic" w:eastAsia="Century Gothic" w:hAnsi="Century Gothic" w:cs="Century Gothic"/>
          <w:b/>
          <w:sz w:val="21"/>
          <w:szCs w:val="21"/>
        </w:rPr>
        <w:t>SEXTA. Publicación de lista de aspirantes que enviaron postulación</w:t>
      </w:r>
    </w:p>
    <w:p w14:paraId="120138DD" w14:textId="77777777" w:rsidR="00627C05" w:rsidRDefault="00000000">
      <w:pPr>
        <w:pBdr>
          <w:top w:val="nil"/>
          <w:left w:val="nil"/>
          <w:bottom w:val="nil"/>
          <w:right w:val="nil"/>
          <w:between w:val="nil"/>
        </w:pBdr>
        <w:ind w:right="-93"/>
        <w:jc w:val="both"/>
        <w:rPr>
          <w:rFonts w:ascii="Century Gothic" w:eastAsia="Century Gothic" w:hAnsi="Century Gothic" w:cs="Century Gothic"/>
          <w:sz w:val="21"/>
          <w:szCs w:val="21"/>
        </w:rPr>
      </w:pPr>
      <w:r>
        <w:rPr>
          <w:rFonts w:ascii="Century Gothic" w:eastAsia="Century Gothic" w:hAnsi="Century Gothic" w:cs="Century Gothic"/>
          <w:sz w:val="21"/>
          <w:szCs w:val="21"/>
        </w:rPr>
        <w:t xml:space="preserve">Una vez finalizado el plazo de vigencia de la presente Convocatoria, el CPC publicará, </w:t>
      </w:r>
      <w:r>
        <w:rPr>
          <w:rFonts w:ascii="Century Gothic" w:eastAsia="Century Gothic" w:hAnsi="Century Gothic" w:cs="Century Gothic"/>
          <w:sz w:val="21"/>
          <w:szCs w:val="21"/>
        </w:rPr>
        <w:lastRenderedPageBreak/>
        <w:t>a través de los medios dispuestos para ello, la lista de personas aspirantes que enviaron documentación. Esta publicación será solamente indicativa de las personas postulantes y no asegura que éstas han cumplido aún, con los requisitos de elegibilidad dispuestos en esta Convocatoria y su Metodología de evaluación.</w:t>
      </w:r>
    </w:p>
    <w:p w14:paraId="1D18A1DD" w14:textId="77777777" w:rsidR="00627C05" w:rsidRDefault="00627C05">
      <w:pPr>
        <w:pBdr>
          <w:top w:val="nil"/>
          <w:left w:val="nil"/>
          <w:bottom w:val="nil"/>
          <w:right w:val="nil"/>
          <w:between w:val="nil"/>
        </w:pBdr>
        <w:ind w:right="-93"/>
        <w:jc w:val="both"/>
        <w:rPr>
          <w:rFonts w:ascii="Century Gothic" w:eastAsia="Century Gothic" w:hAnsi="Century Gothic" w:cs="Century Gothic"/>
          <w:b/>
          <w:sz w:val="21"/>
          <w:szCs w:val="21"/>
        </w:rPr>
      </w:pPr>
    </w:p>
    <w:p w14:paraId="400CE85B" w14:textId="77777777" w:rsidR="00F825D9" w:rsidRDefault="00F825D9">
      <w:pPr>
        <w:pBdr>
          <w:top w:val="nil"/>
          <w:left w:val="nil"/>
          <w:bottom w:val="nil"/>
          <w:right w:val="nil"/>
          <w:between w:val="nil"/>
        </w:pBdr>
        <w:ind w:right="-93"/>
        <w:jc w:val="both"/>
        <w:rPr>
          <w:rFonts w:ascii="Century Gothic" w:eastAsia="Century Gothic" w:hAnsi="Century Gothic" w:cs="Century Gothic"/>
          <w:b/>
          <w:sz w:val="21"/>
          <w:szCs w:val="21"/>
        </w:rPr>
      </w:pPr>
    </w:p>
    <w:p w14:paraId="55065162" w14:textId="7DB912A3" w:rsidR="00627C05" w:rsidRDefault="00000000">
      <w:pPr>
        <w:pBdr>
          <w:top w:val="nil"/>
          <w:left w:val="nil"/>
          <w:bottom w:val="nil"/>
          <w:right w:val="nil"/>
          <w:between w:val="nil"/>
        </w:pBdr>
        <w:ind w:right="-93"/>
        <w:jc w:val="both"/>
        <w:rPr>
          <w:rFonts w:ascii="Century Gothic" w:eastAsia="Century Gothic" w:hAnsi="Century Gothic" w:cs="Century Gothic"/>
          <w:color w:val="000000"/>
          <w:sz w:val="21"/>
          <w:szCs w:val="21"/>
        </w:rPr>
      </w:pPr>
      <w:r>
        <w:rPr>
          <w:rFonts w:ascii="Century Gothic" w:eastAsia="Century Gothic" w:hAnsi="Century Gothic" w:cs="Century Gothic"/>
          <w:b/>
          <w:sz w:val="21"/>
          <w:szCs w:val="21"/>
        </w:rPr>
        <w:t>SÉPTIMA. Publicación de lista de aspirantes que cumplieron con los requisitos de la Base SEGUNDA</w:t>
      </w:r>
    </w:p>
    <w:p w14:paraId="6E6CFBFC" w14:textId="77777777" w:rsidR="00627C05" w:rsidRDefault="00000000">
      <w:pPr>
        <w:pBdr>
          <w:top w:val="nil"/>
          <w:left w:val="nil"/>
          <w:bottom w:val="nil"/>
          <w:right w:val="nil"/>
          <w:between w:val="nil"/>
        </w:pBdr>
        <w:ind w:right="-93"/>
        <w:jc w:val="both"/>
        <w:rPr>
          <w:rFonts w:ascii="Century Gothic" w:eastAsia="Century Gothic" w:hAnsi="Century Gothic" w:cs="Century Gothic"/>
          <w:color w:val="000000"/>
          <w:sz w:val="21"/>
          <w:szCs w:val="21"/>
        </w:rPr>
      </w:pPr>
      <w:r>
        <w:rPr>
          <w:rFonts w:ascii="Century Gothic" w:eastAsia="Century Gothic" w:hAnsi="Century Gothic" w:cs="Century Gothic"/>
          <w:color w:val="000000"/>
          <w:sz w:val="21"/>
          <w:szCs w:val="21"/>
        </w:rPr>
        <w:t xml:space="preserve">El listado con las postulaciones que se tengan PRESENTADAS será publicado por el CPC </w:t>
      </w:r>
      <w:r>
        <w:rPr>
          <w:rFonts w:ascii="Century Gothic" w:eastAsia="Century Gothic" w:hAnsi="Century Gothic" w:cs="Century Gothic"/>
          <w:sz w:val="21"/>
          <w:szCs w:val="21"/>
        </w:rPr>
        <w:t xml:space="preserve">a más tardar el día </w:t>
      </w:r>
      <w:r>
        <w:rPr>
          <w:rFonts w:ascii="Century Gothic" w:eastAsia="Century Gothic" w:hAnsi="Century Gothic" w:cs="Century Gothic"/>
          <w:sz w:val="21"/>
          <w:szCs w:val="21"/>
          <w:highlight w:val="white"/>
        </w:rPr>
        <w:t>26 de junio de 2023</w:t>
      </w:r>
      <w:r>
        <w:rPr>
          <w:rFonts w:ascii="Century Gothic" w:eastAsia="Century Gothic" w:hAnsi="Century Gothic" w:cs="Century Gothic"/>
          <w:sz w:val="21"/>
          <w:szCs w:val="21"/>
          <w:highlight w:val="white"/>
          <w:vertAlign w:val="superscript"/>
        </w:rPr>
        <w:footnoteReference w:id="9"/>
      </w:r>
      <w:r>
        <w:rPr>
          <w:rFonts w:ascii="Century Gothic" w:eastAsia="Century Gothic" w:hAnsi="Century Gothic" w:cs="Century Gothic"/>
          <w:sz w:val="21"/>
          <w:szCs w:val="21"/>
          <w:highlight w:val="white"/>
        </w:rPr>
        <w:t xml:space="preserve">, </w:t>
      </w:r>
      <w:r>
        <w:rPr>
          <w:rFonts w:ascii="Century Gothic" w:eastAsia="Century Gothic" w:hAnsi="Century Gothic" w:cs="Century Gothic"/>
          <w:sz w:val="21"/>
          <w:szCs w:val="21"/>
        </w:rPr>
        <w:t>en e</w:t>
      </w:r>
      <w:r>
        <w:rPr>
          <w:rFonts w:ascii="Century Gothic" w:eastAsia="Century Gothic" w:hAnsi="Century Gothic" w:cs="Century Gothic"/>
          <w:color w:val="000000"/>
          <w:sz w:val="21"/>
          <w:szCs w:val="21"/>
        </w:rPr>
        <w:t xml:space="preserve">l micrositio de la Página </w:t>
      </w:r>
      <w:r>
        <w:rPr>
          <w:rFonts w:ascii="Century Gothic" w:eastAsia="Century Gothic" w:hAnsi="Century Gothic" w:cs="Century Gothic"/>
          <w:sz w:val="21"/>
          <w:szCs w:val="21"/>
        </w:rPr>
        <w:t>w</w:t>
      </w:r>
      <w:r>
        <w:rPr>
          <w:rFonts w:ascii="Century Gothic" w:eastAsia="Century Gothic" w:hAnsi="Century Gothic" w:cs="Century Gothic"/>
          <w:color w:val="000000"/>
          <w:sz w:val="21"/>
          <w:szCs w:val="21"/>
        </w:rPr>
        <w:t xml:space="preserve">eb del CPC: </w:t>
      </w:r>
      <w:hyperlink r:id="rId9">
        <w:r>
          <w:rPr>
            <w:rFonts w:ascii="Century Gothic" w:eastAsia="Century Gothic" w:hAnsi="Century Gothic" w:cs="Century Gothic"/>
            <w:color w:val="0000FF"/>
            <w:sz w:val="21"/>
            <w:szCs w:val="21"/>
            <w:u w:val="single"/>
          </w:rPr>
          <w:t>https://cpcqroo.org/</w:t>
        </w:r>
      </w:hyperlink>
      <w:r>
        <w:rPr>
          <w:rFonts w:ascii="Century Gothic" w:eastAsia="Century Gothic" w:hAnsi="Century Gothic" w:cs="Century Gothic"/>
          <w:sz w:val="21"/>
          <w:szCs w:val="21"/>
        </w:rPr>
        <w:t xml:space="preserve"> y será difundido a través de las redes sociales del CPC.</w:t>
      </w:r>
    </w:p>
    <w:p w14:paraId="660BD527" w14:textId="77777777" w:rsidR="00627C05" w:rsidRDefault="00627C05">
      <w:pPr>
        <w:pBdr>
          <w:top w:val="nil"/>
          <w:left w:val="nil"/>
          <w:bottom w:val="nil"/>
          <w:right w:val="nil"/>
          <w:between w:val="nil"/>
        </w:pBdr>
        <w:ind w:right="-93"/>
        <w:rPr>
          <w:rFonts w:ascii="Century Gothic" w:eastAsia="Century Gothic" w:hAnsi="Century Gothic" w:cs="Century Gothic"/>
          <w:color w:val="000000"/>
          <w:sz w:val="21"/>
          <w:szCs w:val="21"/>
        </w:rPr>
      </w:pPr>
    </w:p>
    <w:p w14:paraId="4D3E6A9A" w14:textId="77777777" w:rsidR="00F825D9" w:rsidRDefault="00F825D9">
      <w:pPr>
        <w:pStyle w:val="Ttulo1"/>
        <w:ind w:left="0" w:right="-93"/>
        <w:rPr>
          <w:rFonts w:ascii="Century Gothic" w:eastAsia="Century Gothic" w:hAnsi="Century Gothic" w:cs="Century Gothic"/>
          <w:sz w:val="21"/>
          <w:szCs w:val="21"/>
        </w:rPr>
      </w:pPr>
    </w:p>
    <w:p w14:paraId="6EFD1481" w14:textId="4A3ACFB0" w:rsidR="00627C05" w:rsidRDefault="00000000">
      <w:pPr>
        <w:pStyle w:val="Ttulo1"/>
        <w:ind w:left="0" w:right="-93"/>
        <w:rPr>
          <w:rFonts w:ascii="Century Gothic" w:eastAsia="Century Gothic" w:hAnsi="Century Gothic" w:cs="Century Gothic"/>
          <w:sz w:val="21"/>
          <w:szCs w:val="21"/>
        </w:rPr>
      </w:pPr>
      <w:r>
        <w:rPr>
          <w:rFonts w:ascii="Century Gothic" w:eastAsia="Century Gothic" w:hAnsi="Century Gothic" w:cs="Century Gothic"/>
          <w:sz w:val="21"/>
          <w:szCs w:val="21"/>
        </w:rPr>
        <w:t>OCTAVA. Fases del proceso de selección</w:t>
      </w:r>
    </w:p>
    <w:p w14:paraId="7E0882CF" w14:textId="77777777" w:rsidR="00627C05" w:rsidRDefault="00000000">
      <w:pPr>
        <w:pBdr>
          <w:top w:val="nil"/>
          <w:left w:val="nil"/>
          <w:bottom w:val="nil"/>
          <w:right w:val="nil"/>
          <w:between w:val="nil"/>
        </w:pBdr>
        <w:ind w:right="-93"/>
        <w:jc w:val="both"/>
        <w:rPr>
          <w:rFonts w:ascii="Century Gothic" w:eastAsia="Century Gothic" w:hAnsi="Century Gothic" w:cs="Century Gothic"/>
          <w:color w:val="000000"/>
          <w:sz w:val="21"/>
          <w:szCs w:val="21"/>
        </w:rPr>
      </w:pPr>
      <w:r>
        <w:rPr>
          <w:rFonts w:ascii="Century Gothic" w:eastAsia="Century Gothic" w:hAnsi="Century Gothic" w:cs="Century Gothic"/>
          <w:color w:val="000000"/>
          <w:sz w:val="21"/>
          <w:szCs w:val="21"/>
        </w:rPr>
        <w:t xml:space="preserve">Las fases del proceso de </w:t>
      </w:r>
      <w:proofErr w:type="gramStart"/>
      <w:r>
        <w:rPr>
          <w:rFonts w:ascii="Century Gothic" w:eastAsia="Century Gothic" w:hAnsi="Century Gothic" w:cs="Century Gothic"/>
          <w:color w:val="000000"/>
          <w:sz w:val="21"/>
          <w:szCs w:val="21"/>
        </w:rPr>
        <w:t>selección,</w:t>
      </w:r>
      <w:proofErr w:type="gramEnd"/>
      <w:r>
        <w:rPr>
          <w:rFonts w:ascii="Century Gothic" w:eastAsia="Century Gothic" w:hAnsi="Century Gothic" w:cs="Century Gothic"/>
          <w:color w:val="000000"/>
          <w:sz w:val="21"/>
          <w:szCs w:val="21"/>
        </w:rPr>
        <w:t xml:space="preserve"> se realizarán conforme lo estipulado en la </w:t>
      </w:r>
      <w:r>
        <w:rPr>
          <w:rFonts w:ascii="Century Gothic" w:eastAsia="Century Gothic" w:hAnsi="Century Gothic" w:cs="Century Gothic"/>
          <w:sz w:val="21"/>
          <w:szCs w:val="21"/>
        </w:rPr>
        <w:t>M</w:t>
      </w:r>
      <w:r>
        <w:rPr>
          <w:rFonts w:ascii="Century Gothic" w:eastAsia="Century Gothic" w:hAnsi="Century Gothic" w:cs="Century Gothic"/>
          <w:color w:val="000000"/>
          <w:sz w:val="21"/>
          <w:szCs w:val="21"/>
        </w:rPr>
        <w:t xml:space="preserve">etodología de </w:t>
      </w:r>
      <w:r>
        <w:rPr>
          <w:rFonts w:ascii="Century Gothic" w:eastAsia="Century Gothic" w:hAnsi="Century Gothic" w:cs="Century Gothic"/>
          <w:sz w:val="21"/>
          <w:szCs w:val="21"/>
        </w:rPr>
        <w:t>e</w:t>
      </w:r>
      <w:r>
        <w:rPr>
          <w:rFonts w:ascii="Century Gothic" w:eastAsia="Century Gothic" w:hAnsi="Century Gothic" w:cs="Century Gothic"/>
          <w:color w:val="000000"/>
          <w:sz w:val="21"/>
          <w:szCs w:val="21"/>
        </w:rPr>
        <w:t>valuación</w:t>
      </w:r>
      <w:r>
        <w:rPr>
          <w:rFonts w:ascii="Century Gothic" w:eastAsia="Century Gothic" w:hAnsi="Century Gothic" w:cs="Century Gothic"/>
          <w:sz w:val="21"/>
          <w:szCs w:val="21"/>
        </w:rPr>
        <w:t xml:space="preserve"> y serán de carácter público, procurando la transparencia del proceso en todo momento, </w:t>
      </w:r>
      <w:r>
        <w:rPr>
          <w:rFonts w:ascii="Century Gothic" w:eastAsia="Century Gothic" w:hAnsi="Century Gothic" w:cs="Century Gothic"/>
          <w:color w:val="000000"/>
          <w:sz w:val="21"/>
          <w:szCs w:val="21"/>
        </w:rPr>
        <w:t>desahogándose en las siguientes fechas:</w:t>
      </w:r>
      <w:r>
        <w:rPr>
          <w:rFonts w:ascii="Century Gothic" w:eastAsia="Century Gothic" w:hAnsi="Century Gothic" w:cs="Century Gothic"/>
          <w:color w:val="000000"/>
          <w:sz w:val="21"/>
          <w:szCs w:val="21"/>
          <w:vertAlign w:val="superscript"/>
        </w:rPr>
        <w:footnoteReference w:id="10"/>
      </w:r>
      <w:r>
        <w:rPr>
          <w:rFonts w:ascii="Century Gothic" w:eastAsia="Century Gothic" w:hAnsi="Century Gothic" w:cs="Century Gothic"/>
          <w:sz w:val="21"/>
          <w:szCs w:val="21"/>
        </w:rPr>
        <w:t xml:space="preserve"> </w:t>
      </w:r>
      <w:r>
        <w:rPr>
          <w:rFonts w:ascii="Century Gothic" w:eastAsia="Century Gothic" w:hAnsi="Century Gothic" w:cs="Century Gothic"/>
          <w:color w:val="000000"/>
          <w:sz w:val="21"/>
          <w:szCs w:val="21"/>
          <w:vertAlign w:val="superscript"/>
        </w:rPr>
        <w:footnoteReference w:id="11"/>
      </w:r>
    </w:p>
    <w:p w14:paraId="278F3969" w14:textId="77777777" w:rsidR="00627C05" w:rsidRDefault="00627C05">
      <w:pPr>
        <w:pBdr>
          <w:top w:val="nil"/>
          <w:left w:val="nil"/>
          <w:bottom w:val="nil"/>
          <w:right w:val="nil"/>
          <w:between w:val="nil"/>
        </w:pBdr>
        <w:ind w:right="-93"/>
        <w:jc w:val="both"/>
        <w:rPr>
          <w:rFonts w:ascii="Century Gothic" w:eastAsia="Century Gothic" w:hAnsi="Century Gothic" w:cs="Century Gothic"/>
          <w:color w:val="000000"/>
          <w:sz w:val="21"/>
          <w:szCs w:val="21"/>
        </w:rPr>
      </w:pPr>
    </w:p>
    <w:tbl>
      <w:tblPr>
        <w:tblStyle w:val="a0"/>
        <w:tblW w:w="8686" w:type="dxa"/>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807"/>
        <w:gridCol w:w="2879"/>
      </w:tblGrid>
      <w:tr w:rsidR="00627C05" w14:paraId="01D44A49" w14:textId="77777777">
        <w:trPr>
          <w:tblHeader/>
        </w:trPr>
        <w:tc>
          <w:tcPr>
            <w:tcW w:w="5807" w:type="dxa"/>
          </w:tcPr>
          <w:p w14:paraId="3C9A2E83" w14:textId="77777777" w:rsidR="00627C05" w:rsidRDefault="00000000">
            <w:pPr>
              <w:ind w:right="-93"/>
              <w:rPr>
                <w:rFonts w:ascii="Century Gothic" w:eastAsia="Century Gothic" w:hAnsi="Century Gothic" w:cs="Century Gothic"/>
                <w:b/>
                <w:sz w:val="20"/>
                <w:szCs w:val="20"/>
              </w:rPr>
            </w:pPr>
            <w:r>
              <w:rPr>
                <w:rFonts w:ascii="Century Gothic" w:eastAsia="Century Gothic" w:hAnsi="Century Gothic" w:cs="Century Gothic"/>
                <w:b/>
                <w:sz w:val="20"/>
                <w:szCs w:val="20"/>
              </w:rPr>
              <w:t>FASE 1. Publicación y difusión de la convocatoria.</w:t>
            </w:r>
          </w:p>
        </w:tc>
        <w:tc>
          <w:tcPr>
            <w:tcW w:w="2879" w:type="dxa"/>
          </w:tcPr>
          <w:p w14:paraId="01F7285E" w14:textId="77777777" w:rsidR="00627C05" w:rsidRDefault="00000000">
            <w:pPr>
              <w:ind w:right="-93"/>
              <w:jc w:val="center"/>
              <w:rPr>
                <w:rFonts w:ascii="Century Gothic" w:eastAsia="Century Gothic" w:hAnsi="Century Gothic" w:cs="Century Gothic"/>
                <w:b/>
                <w:sz w:val="18"/>
                <w:szCs w:val="18"/>
              </w:rPr>
            </w:pPr>
            <w:r>
              <w:rPr>
                <w:rFonts w:ascii="Century Gothic" w:eastAsia="Century Gothic" w:hAnsi="Century Gothic" w:cs="Century Gothic"/>
                <w:b/>
                <w:sz w:val="18"/>
                <w:szCs w:val="18"/>
              </w:rPr>
              <w:t>4 de mayo – 18 de junio</w:t>
            </w:r>
          </w:p>
        </w:tc>
      </w:tr>
      <w:tr w:rsidR="00627C05" w14:paraId="430085F8" w14:textId="77777777">
        <w:trPr>
          <w:tblHeader/>
        </w:trPr>
        <w:tc>
          <w:tcPr>
            <w:tcW w:w="5807" w:type="dxa"/>
          </w:tcPr>
          <w:p w14:paraId="48328579" w14:textId="77777777" w:rsidR="00627C05" w:rsidRDefault="00000000">
            <w:pPr>
              <w:ind w:right="-93"/>
              <w:rPr>
                <w:rFonts w:ascii="Century Gothic" w:eastAsia="Century Gothic" w:hAnsi="Century Gothic" w:cs="Century Gothic"/>
                <w:b/>
                <w:sz w:val="20"/>
                <w:szCs w:val="20"/>
              </w:rPr>
            </w:pPr>
            <w:r>
              <w:rPr>
                <w:rFonts w:ascii="Century Gothic" w:eastAsia="Century Gothic" w:hAnsi="Century Gothic" w:cs="Century Gothic"/>
                <w:b/>
                <w:sz w:val="20"/>
                <w:szCs w:val="20"/>
              </w:rPr>
              <w:t xml:space="preserve">FASE 2. Evaluación de los perfiles de las personas aspirantes </w:t>
            </w:r>
          </w:p>
          <w:p w14:paraId="55375136" w14:textId="77777777" w:rsidR="00627C05" w:rsidRDefault="00000000">
            <w:pPr>
              <w:widowControl/>
              <w:numPr>
                <w:ilvl w:val="0"/>
                <w:numId w:val="1"/>
              </w:numPr>
              <w:pBdr>
                <w:top w:val="nil"/>
                <w:left w:val="nil"/>
                <w:bottom w:val="nil"/>
                <w:right w:val="nil"/>
                <w:between w:val="nil"/>
              </w:pBdr>
              <w:ind w:left="306" w:right="35"/>
              <w:jc w:val="both"/>
              <w:rPr>
                <w:rFonts w:ascii="Century Gothic" w:eastAsia="Century Gothic" w:hAnsi="Century Gothic" w:cs="Century Gothic"/>
                <w:color w:val="000000"/>
                <w:sz w:val="18"/>
                <w:szCs w:val="18"/>
              </w:rPr>
            </w:pPr>
            <w:r>
              <w:rPr>
                <w:rFonts w:ascii="Century Gothic" w:eastAsia="Century Gothic" w:hAnsi="Century Gothic" w:cs="Century Gothic"/>
                <w:color w:val="000000"/>
                <w:sz w:val="18"/>
                <w:szCs w:val="18"/>
                <w:u w:val="single"/>
              </w:rPr>
              <w:t>Determinación de la elegibilidad:</w:t>
            </w:r>
            <w:r>
              <w:rPr>
                <w:rFonts w:ascii="Century Gothic" w:eastAsia="Century Gothic" w:hAnsi="Century Gothic" w:cs="Century Gothic"/>
                <w:color w:val="000000"/>
                <w:sz w:val="18"/>
                <w:szCs w:val="18"/>
              </w:rPr>
              <w:t xml:space="preserve"> cumplimiento de requisitos documentales</w:t>
            </w:r>
          </w:p>
          <w:p w14:paraId="46336A25" w14:textId="77777777" w:rsidR="00627C05" w:rsidRDefault="00000000">
            <w:pPr>
              <w:widowControl/>
              <w:numPr>
                <w:ilvl w:val="0"/>
                <w:numId w:val="1"/>
              </w:numPr>
              <w:pBdr>
                <w:top w:val="nil"/>
                <w:left w:val="nil"/>
                <w:bottom w:val="nil"/>
                <w:right w:val="nil"/>
                <w:between w:val="nil"/>
              </w:pBdr>
              <w:ind w:left="306" w:right="35"/>
              <w:jc w:val="both"/>
              <w:rPr>
                <w:rFonts w:ascii="Century Gothic" w:eastAsia="Century Gothic" w:hAnsi="Century Gothic" w:cs="Century Gothic"/>
                <w:color w:val="000000"/>
                <w:sz w:val="18"/>
                <w:szCs w:val="18"/>
              </w:rPr>
            </w:pPr>
            <w:r>
              <w:rPr>
                <w:rFonts w:ascii="Century Gothic" w:eastAsia="Century Gothic" w:hAnsi="Century Gothic" w:cs="Century Gothic"/>
                <w:color w:val="000000"/>
                <w:sz w:val="18"/>
                <w:szCs w:val="18"/>
                <w:u w:val="single"/>
              </w:rPr>
              <w:t xml:space="preserve">Valoración de la información curricular </w:t>
            </w:r>
            <w:r>
              <w:rPr>
                <w:rFonts w:ascii="Century Gothic" w:eastAsia="Century Gothic" w:hAnsi="Century Gothic" w:cs="Century Gothic"/>
                <w:sz w:val="18"/>
                <w:szCs w:val="18"/>
                <w:u w:val="single"/>
              </w:rPr>
              <w:t>y programa de trabajo</w:t>
            </w:r>
          </w:p>
          <w:p w14:paraId="3D7BEC00" w14:textId="77777777" w:rsidR="00627C05" w:rsidRDefault="00000000">
            <w:pPr>
              <w:widowControl/>
              <w:numPr>
                <w:ilvl w:val="0"/>
                <w:numId w:val="5"/>
              </w:numPr>
              <w:pBdr>
                <w:top w:val="nil"/>
                <w:left w:val="nil"/>
                <w:bottom w:val="nil"/>
                <w:right w:val="nil"/>
                <w:between w:val="nil"/>
              </w:pBdr>
              <w:ind w:left="283" w:right="35"/>
              <w:jc w:val="both"/>
              <w:rPr>
                <w:rFonts w:ascii="Century Gothic" w:eastAsia="Century Gothic" w:hAnsi="Century Gothic" w:cs="Century Gothic"/>
                <w:color w:val="000000"/>
                <w:sz w:val="18"/>
                <w:szCs w:val="18"/>
              </w:rPr>
            </w:pPr>
            <w:r>
              <w:rPr>
                <w:rFonts w:ascii="Century Gothic" w:eastAsia="Century Gothic" w:hAnsi="Century Gothic" w:cs="Century Gothic"/>
                <w:color w:val="000000"/>
                <w:sz w:val="18"/>
                <w:szCs w:val="18"/>
                <w:u w:val="single"/>
              </w:rPr>
              <w:t>Entrevista y solución de caso práctico</w:t>
            </w:r>
          </w:p>
        </w:tc>
        <w:tc>
          <w:tcPr>
            <w:tcW w:w="2879" w:type="dxa"/>
          </w:tcPr>
          <w:p w14:paraId="56199EAE" w14:textId="77777777" w:rsidR="00627C05" w:rsidRDefault="00000000">
            <w:pPr>
              <w:ind w:right="-93"/>
              <w:jc w:val="center"/>
              <w:rPr>
                <w:rFonts w:ascii="Century Gothic" w:eastAsia="Century Gothic" w:hAnsi="Century Gothic" w:cs="Century Gothic"/>
                <w:b/>
                <w:sz w:val="18"/>
                <w:szCs w:val="18"/>
              </w:rPr>
            </w:pPr>
            <w:r>
              <w:rPr>
                <w:rFonts w:ascii="Century Gothic" w:eastAsia="Century Gothic" w:hAnsi="Century Gothic" w:cs="Century Gothic"/>
                <w:b/>
                <w:sz w:val="18"/>
                <w:szCs w:val="18"/>
              </w:rPr>
              <w:t>19 de junio – 31 de julio</w:t>
            </w:r>
          </w:p>
          <w:p w14:paraId="2FE95B85" w14:textId="77777777" w:rsidR="00627C05" w:rsidRDefault="00627C05">
            <w:pPr>
              <w:ind w:right="-93"/>
              <w:jc w:val="center"/>
              <w:rPr>
                <w:rFonts w:ascii="Century Gothic" w:eastAsia="Century Gothic" w:hAnsi="Century Gothic" w:cs="Century Gothic"/>
                <w:sz w:val="18"/>
                <w:szCs w:val="18"/>
              </w:rPr>
            </w:pPr>
          </w:p>
          <w:p w14:paraId="2668BCC8" w14:textId="77777777" w:rsidR="00627C05" w:rsidRDefault="00000000">
            <w:pPr>
              <w:ind w:right="-93"/>
              <w:jc w:val="center"/>
              <w:rPr>
                <w:rFonts w:ascii="Century Gothic" w:eastAsia="Century Gothic" w:hAnsi="Century Gothic" w:cs="Century Gothic"/>
                <w:sz w:val="18"/>
                <w:szCs w:val="18"/>
              </w:rPr>
            </w:pPr>
            <w:r>
              <w:rPr>
                <w:rFonts w:ascii="Century Gothic" w:eastAsia="Century Gothic" w:hAnsi="Century Gothic" w:cs="Century Gothic"/>
                <w:sz w:val="18"/>
                <w:szCs w:val="18"/>
              </w:rPr>
              <w:t>19 de junio - 23 de junio</w:t>
            </w:r>
          </w:p>
          <w:p w14:paraId="1B1F18BA" w14:textId="77777777" w:rsidR="00627C05" w:rsidRDefault="00627C05">
            <w:pPr>
              <w:ind w:right="-93"/>
              <w:jc w:val="center"/>
              <w:rPr>
                <w:rFonts w:ascii="Century Gothic" w:eastAsia="Century Gothic" w:hAnsi="Century Gothic" w:cs="Century Gothic"/>
                <w:sz w:val="18"/>
                <w:szCs w:val="18"/>
              </w:rPr>
            </w:pPr>
          </w:p>
          <w:p w14:paraId="130469C5" w14:textId="77777777" w:rsidR="00627C05" w:rsidRDefault="00000000">
            <w:pPr>
              <w:ind w:right="-93"/>
              <w:jc w:val="center"/>
              <w:rPr>
                <w:rFonts w:ascii="Century Gothic" w:eastAsia="Century Gothic" w:hAnsi="Century Gothic" w:cs="Century Gothic"/>
                <w:sz w:val="18"/>
                <w:szCs w:val="18"/>
              </w:rPr>
            </w:pPr>
            <w:r>
              <w:rPr>
                <w:rFonts w:ascii="Century Gothic" w:eastAsia="Century Gothic" w:hAnsi="Century Gothic" w:cs="Century Gothic"/>
                <w:sz w:val="18"/>
                <w:szCs w:val="18"/>
              </w:rPr>
              <w:t xml:space="preserve">26 de junio </w:t>
            </w:r>
            <w:proofErr w:type="gramStart"/>
            <w:r>
              <w:rPr>
                <w:rFonts w:ascii="Century Gothic" w:eastAsia="Century Gothic" w:hAnsi="Century Gothic" w:cs="Century Gothic"/>
                <w:sz w:val="18"/>
                <w:szCs w:val="18"/>
              </w:rPr>
              <w:t>-  7</w:t>
            </w:r>
            <w:proofErr w:type="gramEnd"/>
            <w:r>
              <w:rPr>
                <w:rFonts w:ascii="Century Gothic" w:eastAsia="Century Gothic" w:hAnsi="Century Gothic" w:cs="Century Gothic"/>
                <w:sz w:val="18"/>
                <w:szCs w:val="18"/>
              </w:rPr>
              <w:t xml:space="preserve"> de julio</w:t>
            </w:r>
          </w:p>
          <w:p w14:paraId="2B5A6802" w14:textId="77777777" w:rsidR="00627C05" w:rsidRDefault="00627C05">
            <w:pPr>
              <w:ind w:right="-93"/>
              <w:jc w:val="center"/>
              <w:rPr>
                <w:rFonts w:ascii="Century Gothic" w:eastAsia="Century Gothic" w:hAnsi="Century Gothic" w:cs="Century Gothic"/>
                <w:sz w:val="18"/>
                <w:szCs w:val="18"/>
              </w:rPr>
            </w:pPr>
          </w:p>
          <w:p w14:paraId="4654EC78" w14:textId="77777777" w:rsidR="00627C05" w:rsidRDefault="00000000">
            <w:pPr>
              <w:ind w:right="-93"/>
              <w:jc w:val="center"/>
              <w:rPr>
                <w:rFonts w:ascii="Century Gothic" w:eastAsia="Century Gothic" w:hAnsi="Century Gothic" w:cs="Century Gothic"/>
                <w:sz w:val="18"/>
                <w:szCs w:val="18"/>
              </w:rPr>
            </w:pPr>
            <w:r>
              <w:rPr>
                <w:rFonts w:ascii="Century Gothic" w:eastAsia="Century Gothic" w:hAnsi="Century Gothic" w:cs="Century Gothic"/>
                <w:sz w:val="18"/>
                <w:szCs w:val="18"/>
              </w:rPr>
              <w:t>10 de julio - 21 de julio</w:t>
            </w:r>
          </w:p>
        </w:tc>
      </w:tr>
      <w:tr w:rsidR="00627C05" w14:paraId="658DFBDC" w14:textId="77777777">
        <w:trPr>
          <w:tblHeader/>
        </w:trPr>
        <w:tc>
          <w:tcPr>
            <w:tcW w:w="5807" w:type="dxa"/>
          </w:tcPr>
          <w:p w14:paraId="062054C9" w14:textId="77777777" w:rsidR="00627C05" w:rsidRDefault="00000000">
            <w:pPr>
              <w:widowControl/>
              <w:ind w:right="-93"/>
              <w:rPr>
                <w:rFonts w:ascii="Century Gothic" w:eastAsia="Century Gothic" w:hAnsi="Century Gothic" w:cs="Century Gothic"/>
                <w:b/>
                <w:sz w:val="20"/>
                <w:szCs w:val="20"/>
              </w:rPr>
            </w:pPr>
            <w:r>
              <w:rPr>
                <w:rFonts w:ascii="Century Gothic" w:eastAsia="Century Gothic" w:hAnsi="Century Gothic" w:cs="Century Gothic"/>
                <w:b/>
                <w:sz w:val="20"/>
                <w:szCs w:val="20"/>
              </w:rPr>
              <w:t>FASE 3. Deliberación para la conformación de la terna y turnado al Órgano de Gobierno del SAEQROO.</w:t>
            </w:r>
          </w:p>
        </w:tc>
        <w:tc>
          <w:tcPr>
            <w:tcW w:w="2879" w:type="dxa"/>
          </w:tcPr>
          <w:p w14:paraId="216166C2" w14:textId="77777777" w:rsidR="00627C05" w:rsidRDefault="00627C05">
            <w:pPr>
              <w:ind w:right="-93"/>
              <w:jc w:val="center"/>
              <w:rPr>
                <w:rFonts w:ascii="Century Gothic" w:eastAsia="Century Gothic" w:hAnsi="Century Gothic" w:cs="Century Gothic"/>
                <w:b/>
                <w:sz w:val="18"/>
                <w:szCs w:val="18"/>
              </w:rPr>
            </w:pPr>
          </w:p>
          <w:p w14:paraId="30AFDBBF" w14:textId="77777777" w:rsidR="00627C05" w:rsidRDefault="00000000">
            <w:pPr>
              <w:ind w:right="-93"/>
              <w:jc w:val="center"/>
              <w:rPr>
                <w:rFonts w:ascii="Century Gothic" w:eastAsia="Century Gothic" w:hAnsi="Century Gothic" w:cs="Century Gothic"/>
                <w:b/>
                <w:sz w:val="18"/>
                <w:szCs w:val="18"/>
              </w:rPr>
            </w:pPr>
            <w:r>
              <w:rPr>
                <w:rFonts w:ascii="Century Gothic" w:eastAsia="Century Gothic" w:hAnsi="Century Gothic" w:cs="Century Gothic"/>
                <w:b/>
                <w:sz w:val="18"/>
                <w:szCs w:val="18"/>
              </w:rPr>
              <w:t>1 de agosto - 8 de agosto</w:t>
            </w:r>
          </w:p>
        </w:tc>
      </w:tr>
    </w:tbl>
    <w:p w14:paraId="13042016" w14:textId="77777777" w:rsidR="00627C05" w:rsidRDefault="00627C05">
      <w:pPr>
        <w:pBdr>
          <w:top w:val="nil"/>
          <w:left w:val="nil"/>
          <w:bottom w:val="nil"/>
          <w:right w:val="nil"/>
          <w:between w:val="nil"/>
        </w:pBdr>
        <w:ind w:right="-93"/>
        <w:rPr>
          <w:rFonts w:ascii="Century Gothic" w:eastAsia="Century Gothic" w:hAnsi="Century Gothic" w:cs="Century Gothic"/>
          <w:color w:val="000000"/>
          <w:sz w:val="21"/>
          <w:szCs w:val="21"/>
        </w:rPr>
      </w:pPr>
    </w:p>
    <w:p w14:paraId="1FA5E14B" w14:textId="77777777" w:rsidR="00F825D9" w:rsidRDefault="00F825D9">
      <w:pPr>
        <w:pStyle w:val="Ttulo1"/>
        <w:ind w:left="0" w:right="-93"/>
        <w:rPr>
          <w:rFonts w:ascii="Century Gothic" w:eastAsia="Century Gothic" w:hAnsi="Century Gothic" w:cs="Century Gothic"/>
          <w:sz w:val="21"/>
          <w:szCs w:val="21"/>
        </w:rPr>
      </w:pPr>
      <w:bookmarkStart w:id="0" w:name="_heading=h.mv932nvy3b56" w:colFirst="0" w:colLast="0"/>
      <w:bookmarkEnd w:id="0"/>
    </w:p>
    <w:p w14:paraId="204F9475" w14:textId="6E8C83B6" w:rsidR="00627C05" w:rsidRDefault="00000000">
      <w:pPr>
        <w:pStyle w:val="Ttulo1"/>
        <w:ind w:left="0" w:right="-93"/>
        <w:rPr>
          <w:rFonts w:ascii="Century Gothic" w:eastAsia="Century Gothic" w:hAnsi="Century Gothic" w:cs="Century Gothic"/>
          <w:sz w:val="21"/>
          <w:szCs w:val="21"/>
        </w:rPr>
      </w:pPr>
      <w:r>
        <w:rPr>
          <w:rFonts w:ascii="Century Gothic" w:eastAsia="Century Gothic" w:hAnsi="Century Gothic" w:cs="Century Gothic"/>
          <w:sz w:val="21"/>
          <w:szCs w:val="21"/>
        </w:rPr>
        <w:t>NOVENA. Integración de la terna</w:t>
      </w:r>
    </w:p>
    <w:p w14:paraId="27FF0347" w14:textId="77777777" w:rsidR="00627C05" w:rsidRDefault="00000000">
      <w:pPr>
        <w:pBdr>
          <w:top w:val="nil"/>
          <w:left w:val="nil"/>
          <w:bottom w:val="nil"/>
          <w:right w:val="nil"/>
          <w:between w:val="nil"/>
        </w:pBdr>
        <w:ind w:right="-93"/>
        <w:jc w:val="both"/>
        <w:rPr>
          <w:rFonts w:ascii="Century Gothic" w:eastAsia="Century Gothic" w:hAnsi="Century Gothic" w:cs="Century Gothic"/>
          <w:sz w:val="21"/>
          <w:szCs w:val="21"/>
          <w:highlight w:val="white"/>
        </w:rPr>
      </w:pPr>
      <w:r>
        <w:rPr>
          <w:rFonts w:ascii="Century Gothic" w:eastAsia="Century Gothic" w:hAnsi="Century Gothic" w:cs="Century Gothic"/>
          <w:color w:val="000000"/>
          <w:sz w:val="21"/>
          <w:szCs w:val="21"/>
        </w:rPr>
        <w:t xml:space="preserve">El CPC elegirá a las tres personas </w:t>
      </w:r>
      <w:r>
        <w:rPr>
          <w:rFonts w:ascii="Century Gothic" w:eastAsia="Century Gothic" w:hAnsi="Century Gothic" w:cs="Century Gothic"/>
          <w:sz w:val="21"/>
          <w:szCs w:val="21"/>
        </w:rPr>
        <w:t>aspirantes</w:t>
      </w:r>
      <w:r>
        <w:rPr>
          <w:rFonts w:ascii="Century Gothic" w:eastAsia="Century Gothic" w:hAnsi="Century Gothic" w:cs="Century Gothic"/>
          <w:color w:val="000000"/>
          <w:sz w:val="21"/>
          <w:szCs w:val="21"/>
        </w:rPr>
        <w:t xml:space="preserve"> que promedien las mejores calificaciones conforme a la </w:t>
      </w:r>
      <w:r>
        <w:rPr>
          <w:rFonts w:ascii="Century Gothic" w:eastAsia="Century Gothic" w:hAnsi="Century Gothic" w:cs="Century Gothic"/>
          <w:sz w:val="21"/>
          <w:szCs w:val="21"/>
        </w:rPr>
        <w:t>M</w:t>
      </w:r>
      <w:r>
        <w:rPr>
          <w:rFonts w:ascii="Century Gothic" w:eastAsia="Century Gothic" w:hAnsi="Century Gothic" w:cs="Century Gothic"/>
          <w:color w:val="000000"/>
          <w:sz w:val="21"/>
          <w:szCs w:val="21"/>
        </w:rPr>
        <w:t xml:space="preserve">etodología de evaluación y el </w:t>
      </w:r>
      <w:r>
        <w:rPr>
          <w:rFonts w:ascii="Century Gothic" w:eastAsia="Century Gothic" w:hAnsi="Century Gothic" w:cs="Century Gothic"/>
          <w:sz w:val="21"/>
          <w:szCs w:val="21"/>
        </w:rPr>
        <w:t>I</w:t>
      </w:r>
      <w:r>
        <w:rPr>
          <w:rFonts w:ascii="Century Gothic" w:eastAsia="Century Gothic" w:hAnsi="Century Gothic" w:cs="Century Gothic"/>
          <w:color w:val="000000"/>
          <w:sz w:val="21"/>
          <w:szCs w:val="21"/>
        </w:rPr>
        <w:t>nstrumento de evaluaci</w:t>
      </w:r>
      <w:r>
        <w:rPr>
          <w:rFonts w:ascii="Century Gothic" w:eastAsia="Century Gothic" w:hAnsi="Century Gothic" w:cs="Century Gothic"/>
          <w:sz w:val="21"/>
          <w:szCs w:val="21"/>
        </w:rPr>
        <w:t>ón. En caso de empate entre dos o más aspirantes,</w:t>
      </w:r>
      <w:r>
        <w:rPr>
          <w:rFonts w:ascii="Century Gothic" w:eastAsia="Century Gothic" w:hAnsi="Century Gothic" w:cs="Century Gothic"/>
          <w:color w:val="FF0000"/>
          <w:sz w:val="21"/>
          <w:szCs w:val="21"/>
          <w:highlight w:val="white"/>
        </w:rPr>
        <w:t xml:space="preserve"> </w:t>
      </w:r>
      <w:r>
        <w:rPr>
          <w:rFonts w:ascii="Century Gothic" w:eastAsia="Century Gothic" w:hAnsi="Century Gothic" w:cs="Century Gothic"/>
          <w:sz w:val="21"/>
          <w:szCs w:val="21"/>
          <w:highlight w:val="white"/>
        </w:rPr>
        <w:t xml:space="preserve">se </w:t>
      </w:r>
      <w:proofErr w:type="spellStart"/>
      <w:r>
        <w:rPr>
          <w:rFonts w:ascii="Century Gothic" w:eastAsia="Century Gothic" w:hAnsi="Century Gothic" w:cs="Century Gothic"/>
          <w:sz w:val="21"/>
          <w:szCs w:val="21"/>
          <w:highlight w:val="white"/>
        </w:rPr>
        <w:t>dara</w:t>
      </w:r>
      <w:proofErr w:type="spellEnd"/>
      <w:r>
        <w:rPr>
          <w:rFonts w:ascii="Century Gothic" w:eastAsia="Century Gothic" w:hAnsi="Century Gothic" w:cs="Century Gothic"/>
          <w:sz w:val="21"/>
          <w:szCs w:val="21"/>
          <w:highlight w:val="white"/>
        </w:rPr>
        <w:t xml:space="preserve">́ prioridad a quien hubiera obtenido la </w:t>
      </w:r>
      <w:proofErr w:type="spellStart"/>
      <w:r>
        <w:rPr>
          <w:rFonts w:ascii="Century Gothic" w:eastAsia="Century Gothic" w:hAnsi="Century Gothic" w:cs="Century Gothic"/>
          <w:sz w:val="21"/>
          <w:szCs w:val="21"/>
          <w:highlight w:val="white"/>
        </w:rPr>
        <w:t>calificación</w:t>
      </w:r>
      <w:proofErr w:type="spellEnd"/>
      <w:r>
        <w:rPr>
          <w:rFonts w:ascii="Century Gothic" w:eastAsia="Century Gothic" w:hAnsi="Century Gothic" w:cs="Century Gothic"/>
          <w:sz w:val="21"/>
          <w:szCs w:val="21"/>
          <w:highlight w:val="white"/>
        </w:rPr>
        <w:t xml:space="preserve"> </w:t>
      </w:r>
      <w:proofErr w:type="spellStart"/>
      <w:r>
        <w:rPr>
          <w:rFonts w:ascii="Century Gothic" w:eastAsia="Century Gothic" w:hAnsi="Century Gothic" w:cs="Century Gothic"/>
          <w:sz w:val="21"/>
          <w:szCs w:val="21"/>
          <w:highlight w:val="white"/>
        </w:rPr>
        <w:t>más</w:t>
      </w:r>
      <w:proofErr w:type="spellEnd"/>
      <w:r>
        <w:rPr>
          <w:rFonts w:ascii="Century Gothic" w:eastAsia="Century Gothic" w:hAnsi="Century Gothic" w:cs="Century Gothic"/>
          <w:sz w:val="21"/>
          <w:szCs w:val="21"/>
          <w:highlight w:val="white"/>
        </w:rPr>
        <w:t xml:space="preserve"> alta en la entrevista. </w:t>
      </w:r>
    </w:p>
    <w:p w14:paraId="7D2D8C29" w14:textId="77777777" w:rsidR="00627C05" w:rsidRDefault="00000000">
      <w:pPr>
        <w:pBdr>
          <w:top w:val="nil"/>
          <w:left w:val="nil"/>
          <w:bottom w:val="nil"/>
          <w:right w:val="nil"/>
          <w:between w:val="nil"/>
        </w:pBdr>
        <w:ind w:right="-93"/>
        <w:jc w:val="both"/>
        <w:rPr>
          <w:rFonts w:ascii="Century Gothic" w:eastAsia="Century Gothic" w:hAnsi="Century Gothic" w:cs="Century Gothic"/>
          <w:sz w:val="21"/>
          <w:szCs w:val="21"/>
          <w:highlight w:val="white"/>
        </w:rPr>
      </w:pPr>
      <w:r>
        <w:rPr>
          <w:rFonts w:ascii="Century Gothic" w:eastAsia="Century Gothic" w:hAnsi="Century Gothic" w:cs="Century Gothic"/>
          <w:sz w:val="21"/>
          <w:szCs w:val="21"/>
        </w:rPr>
        <w:t xml:space="preserve">La integración de la terna </w:t>
      </w:r>
      <w:r>
        <w:rPr>
          <w:rFonts w:ascii="Century Gothic" w:eastAsia="Century Gothic" w:hAnsi="Century Gothic" w:cs="Century Gothic"/>
          <w:color w:val="000000"/>
          <w:sz w:val="21"/>
          <w:szCs w:val="21"/>
        </w:rPr>
        <w:t>contemplar</w:t>
      </w:r>
      <w:r>
        <w:rPr>
          <w:rFonts w:ascii="Century Gothic" w:eastAsia="Century Gothic" w:hAnsi="Century Gothic" w:cs="Century Gothic"/>
          <w:sz w:val="21"/>
          <w:szCs w:val="21"/>
        </w:rPr>
        <w:t>á</w:t>
      </w:r>
      <w:r>
        <w:rPr>
          <w:rFonts w:ascii="Century Gothic" w:eastAsia="Century Gothic" w:hAnsi="Century Gothic" w:cs="Century Gothic"/>
          <w:color w:val="000000"/>
          <w:sz w:val="21"/>
          <w:szCs w:val="21"/>
        </w:rPr>
        <w:t xml:space="preserve"> el siguiente mecanismo de acci</w:t>
      </w:r>
      <w:r>
        <w:rPr>
          <w:rFonts w:ascii="Century Gothic" w:eastAsia="Century Gothic" w:hAnsi="Century Gothic" w:cs="Century Gothic"/>
          <w:sz w:val="21"/>
          <w:szCs w:val="21"/>
        </w:rPr>
        <w:t xml:space="preserve">ón afirmativa para garantizar el enfoque integrado de derechos humanos, no discriminación e igualdad de género, </w:t>
      </w:r>
      <w:r>
        <w:rPr>
          <w:rFonts w:ascii="Century Gothic" w:eastAsia="Century Gothic" w:hAnsi="Century Gothic" w:cs="Century Gothic"/>
          <w:sz w:val="21"/>
          <w:szCs w:val="21"/>
          <w:highlight w:val="white"/>
        </w:rPr>
        <w:t>a saber:</w:t>
      </w:r>
    </w:p>
    <w:p w14:paraId="57670B23" w14:textId="77777777" w:rsidR="00627C05" w:rsidRDefault="00000000">
      <w:pPr>
        <w:jc w:val="both"/>
        <w:rPr>
          <w:rFonts w:ascii="Century Gothic" w:eastAsia="Century Gothic" w:hAnsi="Century Gothic" w:cs="Century Gothic"/>
          <w:sz w:val="21"/>
          <w:szCs w:val="21"/>
          <w:highlight w:val="white"/>
        </w:rPr>
      </w:pPr>
      <w:r>
        <w:rPr>
          <w:rFonts w:ascii="Century Gothic" w:eastAsia="Century Gothic" w:hAnsi="Century Gothic" w:cs="Century Gothic"/>
          <w:sz w:val="21"/>
          <w:szCs w:val="21"/>
          <w:highlight w:val="white"/>
        </w:rPr>
        <w:t xml:space="preserve">Si la lista de las tres primeras posiciones no incluye al menos a una mujer, con la finalidad de garantizar la inclusión y no </w:t>
      </w:r>
      <w:proofErr w:type="spellStart"/>
      <w:r>
        <w:rPr>
          <w:rFonts w:ascii="Century Gothic" w:eastAsia="Century Gothic" w:hAnsi="Century Gothic" w:cs="Century Gothic"/>
          <w:sz w:val="21"/>
          <w:szCs w:val="21"/>
          <w:highlight w:val="white"/>
        </w:rPr>
        <w:t>discriminacion</w:t>
      </w:r>
      <w:proofErr w:type="spellEnd"/>
      <w:r>
        <w:rPr>
          <w:rFonts w:ascii="Century Gothic" w:eastAsia="Century Gothic" w:hAnsi="Century Gothic" w:cs="Century Gothic"/>
          <w:sz w:val="21"/>
          <w:szCs w:val="21"/>
          <w:highlight w:val="white"/>
        </w:rPr>
        <w:t xml:space="preserve">, el tercer lugar será sustituido por la </w:t>
      </w:r>
      <w:r>
        <w:rPr>
          <w:rFonts w:ascii="Century Gothic" w:eastAsia="Century Gothic" w:hAnsi="Century Gothic" w:cs="Century Gothic"/>
          <w:sz w:val="21"/>
          <w:szCs w:val="21"/>
          <w:highlight w:val="white"/>
        </w:rPr>
        <w:lastRenderedPageBreak/>
        <w:t>aspirante mujer con mayor puntuación global durante el proceso, siempre y cuando, sea una calificación aprobatoria (60 puntos o más).</w:t>
      </w:r>
    </w:p>
    <w:p w14:paraId="27231C80" w14:textId="77777777" w:rsidR="00627C05" w:rsidRDefault="00000000">
      <w:pPr>
        <w:jc w:val="both"/>
        <w:rPr>
          <w:rFonts w:ascii="Century Gothic" w:eastAsia="Century Gothic" w:hAnsi="Century Gothic" w:cs="Century Gothic"/>
          <w:sz w:val="21"/>
          <w:szCs w:val="21"/>
          <w:highlight w:val="white"/>
        </w:rPr>
      </w:pPr>
      <w:r>
        <w:rPr>
          <w:rFonts w:ascii="Century Gothic" w:eastAsia="Century Gothic" w:hAnsi="Century Gothic" w:cs="Century Gothic"/>
          <w:sz w:val="21"/>
          <w:szCs w:val="21"/>
          <w:highlight w:val="white"/>
        </w:rPr>
        <w:t xml:space="preserve">En casos de empate entre una mujer y un hombre, se dará prioridad a la mujer.   </w:t>
      </w:r>
    </w:p>
    <w:p w14:paraId="09092BBA" w14:textId="77777777" w:rsidR="00627C05" w:rsidRDefault="00000000">
      <w:pPr>
        <w:ind w:left="1120" w:hanging="360"/>
        <w:jc w:val="both"/>
        <w:rPr>
          <w:rFonts w:ascii="Century Gothic" w:eastAsia="Century Gothic" w:hAnsi="Century Gothic" w:cs="Century Gothic"/>
          <w:color w:val="000000"/>
          <w:sz w:val="21"/>
          <w:szCs w:val="21"/>
        </w:rPr>
      </w:pPr>
      <w:r>
        <w:rPr>
          <w:rFonts w:ascii="Calibri" w:eastAsia="Calibri" w:hAnsi="Calibri" w:cs="Calibri"/>
          <w:color w:val="FF0000"/>
          <w:sz w:val="21"/>
          <w:szCs w:val="21"/>
          <w:highlight w:val="white"/>
        </w:rPr>
        <w:t>·</w:t>
      </w:r>
      <w:r>
        <w:rPr>
          <w:rFonts w:ascii="Times New Roman" w:eastAsia="Times New Roman" w:hAnsi="Times New Roman" w:cs="Times New Roman"/>
          <w:color w:val="FF0000"/>
          <w:sz w:val="14"/>
          <w:szCs w:val="14"/>
          <w:highlight w:val="white"/>
        </w:rPr>
        <w:t xml:space="preserve">   </w:t>
      </w:r>
      <w:r>
        <w:rPr>
          <w:rFonts w:ascii="Times New Roman" w:eastAsia="Times New Roman" w:hAnsi="Times New Roman" w:cs="Times New Roman"/>
          <w:color w:val="FF0000"/>
          <w:sz w:val="14"/>
          <w:szCs w:val="14"/>
          <w:highlight w:val="white"/>
        </w:rPr>
        <w:tab/>
      </w:r>
    </w:p>
    <w:p w14:paraId="3236C877" w14:textId="77777777" w:rsidR="00F825D9" w:rsidRDefault="00F825D9">
      <w:pPr>
        <w:pStyle w:val="Ttulo1"/>
        <w:ind w:left="0" w:right="-93"/>
        <w:jc w:val="left"/>
        <w:rPr>
          <w:rFonts w:ascii="Century Gothic" w:eastAsia="Century Gothic" w:hAnsi="Century Gothic" w:cs="Century Gothic"/>
          <w:sz w:val="21"/>
          <w:szCs w:val="21"/>
        </w:rPr>
      </w:pPr>
    </w:p>
    <w:p w14:paraId="3FDF2E26" w14:textId="39C0BD9B" w:rsidR="00627C05" w:rsidRDefault="00000000">
      <w:pPr>
        <w:pStyle w:val="Ttulo1"/>
        <w:ind w:left="0" w:right="-93"/>
        <w:jc w:val="left"/>
        <w:rPr>
          <w:rFonts w:ascii="Century Gothic" w:eastAsia="Century Gothic" w:hAnsi="Century Gothic" w:cs="Century Gothic"/>
          <w:sz w:val="21"/>
          <w:szCs w:val="21"/>
        </w:rPr>
      </w:pPr>
      <w:r>
        <w:rPr>
          <w:rFonts w:ascii="Century Gothic" w:eastAsia="Century Gothic" w:hAnsi="Century Gothic" w:cs="Century Gothic"/>
          <w:sz w:val="21"/>
          <w:szCs w:val="21"/>
        </w:rPr>
        <w:t>DÉCIMA. Entrega de la terna al Órgano de Gobierno de la SESAEQROO</w:t>
      </w:r>
    </w:p>
    <w:p w14:paraId="6FFA4EC1" w14:textId="77777777" w:rsidR="00627C05" w:rsidRDefault="00000000">
      <w:pPr>
        <w:pBdr>
          <w:top w:val="nil"/>
          <w:left w:val="nil"/>
          <w:bottom w:val="nil"/>
          <w:right w:val="nil"/>
          <w:between w:val="nil"/>
        </w:pBdr>
        <w:ind w:right="-93"/>
        <w:jc w:val="both"/>
        <w:rPr>
          <w:rFonts w:ascii="Century Gothic" w:eastAsia="Century Gothic" w:hAnsi="Century Gothic" w:cs="Century Gothic"/>
          <w:color w:val="000000"/>
          <w:sz w:val="21"/>
          <w:szCs w:val="21"/>
        </w:rPr>
      </w:pPr>
      <w:r>
        <w:rPr>
          <w:rFonts w:ascii="Century Gothic" w:eastAsia="Century Gothic" w:hAnsi="Century Gothic" w:cs="Century Gothic"/>
          <w:color w:val="000000"/>
          <w:sz w:val="21"/>
          <w:szCs w:val="21"/>
        </w:rPr>
        <w:t>Posteriormente a la deliberación, el CPC levantará el acta correspondiente, misma que incluirá el nombre de las personas elegidas para conformar</w:t>
      </w:r>
      <w:r>
        <w:rPr>
          <w:rFonts w:ascii="Century Gothic" w:eastAsia="Century Gothic" w:hAnsi="Century Gothic" w:cs="Century Gothic"/>
          <w:sz w:val="21"/>
          <w:szCs w:val="21"/>
        </w:rPr>
        <w:t xml:space="preserve"> </w:t>
      </w:r>
      <w:r>
        <w:rPr>
          <w:rFonts w:ascii="Century Gothic" w:eastAsia="Century Gothic" w:hAnsi="Century Gothic" w:cs="Century Gothic"/>
          <w:color w:val="000000"/>
          <w:sz w:val="21"/>
          <w:szCs w:val="21"/>
        </w:rPr>
        <w:t xml:space="preserve">la terna que su </w:t>
      </w:r>
      <w:proofErr w:type="gramStart"/>
      <w:r>
        <w:rPr>
          <w:rFonts w:ascii="Century Gothic" w:eastAsia="Century Gothic" w:hAnsi="Century Gothic" w:cs="Century Gothic"/>
          <w:color w:val="000000"/>
          <w:sz w:val="21"/>
          <w:szCs w:val="21"/>
        </w:rPr>
        <w:t>Presidenta</w:t>
      </w:r>
      <w:proofErr w:type="gramEnd"/>
      <w:r>
        <w:rPr>
          <w:rFonts w:ascii="Century Gothic" w:eastAsia="Century Gothic" w:hAnsi="Century Gothic" w:cs="Century Gothic"/>
          <w:color w:val="000000"/>
          <w:sz w:val="21"/>
          <w:szCs w:val="21"/>
        </w:rPr>
        <w:t xml:space="preserve"> presentará al Órgano de Gobierno de </w:t>
      </w:r>
      <w:r>
        <w:rPr>
          <w:rFonts w:ascii="Century Gothic" w:eastAsia="Century Gothic" w:hAnsi="Century Gothic" w:cs="Century Gothic"/>
          <w:sz w:val="21"/>
          <w:szCs w:val="21"/>
        </w:rPr>
        <w:t>la</w:t>
      </w:r>
      <w:r>
        <w:rPr>
          <w:rFonts w:ascii="Century Gothic" w:eastAsia="Century Gothic" w:hAnsi="Century Gothic" w:cs="Century Gothic"/>
          <w:color w:val="000000"/>
          <w:sz w:val="21"/>
          <w:szCs w:val="21"/>
        </w:rPr>
        <w:t xml:space="preserve"> SESAEQROO para elegir a la persona titular de la Secretaría Ejecutiva del SAEQROO. </w:t>
      </w:r>
    </w:p>
    <w:p w14:paraId="70AC31FB" w14:textId="77777777" w:rsidR="00627C05" w:rsidRDefault="00627C05">
      <w:pPr>
        <w:pBdr>
          <w:top w:val="nil"/>
          <w:left w:val="nil"/>
          <w:bottom w:val="nil"/>
          <w:right w:val="nil"/>
          <w:between w:val="nil"/>
        </w:pBdr>
        <w:ind w:right="-93"/>
        <w:jc w:val="both"/>
        <w:rPr>
          <w:rFonts w:ascii="Century Gothic" w:eastAsia="Century Gothic" w:hAnsi="Century Gothic" w:cs="Century Gothic"/>
          <w:color w:val="000000"/>
          <w:sz w:val="21"/>
          <w:szCs w:val="21"/>
        </w:rPr>
      </w:pPr>
    </w:p>
    <w:p w14:paraId="19064B5E" w14:textId="77777777" w:rsidR="00627C05" w:rsidRDefault="00000000">
      <w:pPr>
        <w:pBdr>
          <w:top w:val="nil"/>
          <w:left w:val="nil"/>
          <w:bottom w:val="nil"/>
          <w:right w:val="nil"/>
          <w:between w:val="nil"/>
        </w:pBdr>
        <w:ind w:right="-93"/>
        <w:jc w:val="both"/>
        <w:rPr>
          <w:rFonts w:ascii="Century Gothic" w:eastAsia="Century Gothic" w:hAnsi="Century Gothic" w:cs="Century Gothic"/>
          <w:color w:val="000000"/>
          <w:sz w:val="21"/>
          <w:szCs w:val="21"/>
        </w:rPr>
      </w:pPr>
      <w:r>
        <w:rPr>
          <w:rFonts w:ascii="Century Gothic" w:eastAsia="Century Gothic" w:hAnsi="Century Gothic" w:cs="Century Gothic"/>
          <w:color w:val="000000"/>
          <w:sz w:val="21"/>
          <w:szCs w:val="21"/>
        </w:rPr>
        <w:t xml:space="preserve">La </w:t>
      </w:r>
      <w:proofErr w:type="gramStart"/>
      <w:r>
        <w:rPr>
          <w:rFonts w:ascii="Century Gothic" w:eastAsia="Century Gothic" w:hAnsi="Century Gothic" w:cs="Century Gothic"/>
          <w:color w:val="000000"/>
          <w:sz w:val="21"/>
          <w:szCs w:val="21"/>
        </w:rPr>
        <w:t>Presidenta</w:t>
      </w:r>
      <w:proofErr w:type="gramEnd"/>
      <w:r>
        <w:rPr>
          <w:rFonts w:ascii="Century Gothic" w:eastAsia="Century Gothic" w:hAnsi="Century Gothic" w:cs="Century Gothic"/>
          <w:color w:val="000000"/>
          <w:sz w:val="21"/>
          <w:szCs w:val="21"/>
        </w:rPr>
        <w:t xml:space="preserve"> del CPC, en su calidad de Presidenta del </w:t>
      </w:r>
      <w:r>
        <w:rPr>
          <w:rFonts w:ascii="Century Gothic" w:eastAsia="Century Gothic" w:hAnsi="Century Gothic" w:cs="Century Gothic"/>
          <w:color w:val="000000"/>
          <w:sz w:val="21"/>
          <w:szCs w:val="21"/>
          <w:highlight w:val="white"/>
        </w:rPr>
        <w:t xml:space="preserve">Órgano de Gobierno de la SESAEQROO, en un plazo no mayor a 15 días hábiles a </w:t>
      </w:r>
      <w:r>
        <w:rPr>
          <w:rFonts w:ascii="Century Gothic" w:eastAsia="Century Gothic" w:hAnsi="Century Gothic" w:cs="Century Gothic"/>
          <w:color w:val="000000"/>
          <w:sz w:val="21"/>
          <w:szCs w:val="21"/>
        </w:rPr>
        <w:t xml:space="preserve">partir de la selección de la terna, convocará a sesión extraordinaria de dicho Órgano de Gobierno para la deliberación respectiva y designación de la persona titular de la SESAEQROO por el período de cinco años contados a partir del momento de su designación, de conformidad con el artículo 33 de la LSAEQROO. </w:t>
      </w:r>
      <w:r>
        <w:rPr>
          <w:rFonts w:ascii="Century Gothic" w:eastAsia="Century Gothic" w:hAnsi="Century Gothic" w:cs="Century Gothic"/>
        </w:rPr>
        <w:t xml:space="preserve">Dicho acuerdo de </w:t>
      </w:r>
      <w:proofErr w:type="spellStart"/>
      <w:r>
        <w:rPr>
          <w:rFonts w:ascii="Century Gothic" w:eastAsia="Century Gothic" w:hAnsi="Century Gothic" w:cs="Century Gothic"/>
        </w:rPr>
        <w:t>designación</w:t>
      </w:r>
      <w:proofErr w:type="spellEnd"/>
      <w:r>
        <w:rPr>
          <w:rFonts w:ascii="Century Gothic" w:eastAsia="Century Gothic" w:hAnsi="Century Gothic" w:cs="Century Gothic"/>
        </w:rPr>
        <w:t xml:space="preserve"> se </w:t>
      </w:r>
      <w:proofErr w:type="spellStart"/>
      <w:r>
        <w:rPr>
          <w:rFonts w:ascii="Century Gothic" w:eastAsia="Century Gothic" w:hAnsi="Century Gothic" w:cs="Century Gothic"/>
        </w:rPr>
        <w:t>hara</w:t>
      </w:r>
      <w:proofErr w:type="spellEnd"/>
      <w:r>
        <w:rPr>
          <w:rFonts w:ascii="Century Gothic" w:eastAsia="Century Gothic" w:hAnsi="Century Gothic" w:cs="Century Gothic"/>
        </w:rPr>
        <w:t xml:space="preserve">́ constar en acta de la </w:t>
      </w:r>
      <w:proofErr w:type="spellStart"/>
      <w:r>
        <w:rPr>
          <w:rFonts w:ascii="Century Gothic" w:eastAsia="Century Gothic" w:hAnsi="Century Gothic" w:cs="Century Gothic"/>
        </w:rPr>
        <w:t>sesión</w:t>
      </w:r>
      <w:proofErr w:type="spellEnd"/>
      <w:r>
        <w:rPr>
          <w:rFonts w:ascii="Century Gothic" w:eastAsia="Century Gothic" w:hAnsi="Century Gothic" w:cs="Century Gothic"/>
        </w:rPr>
        <w:t xml:space="preserve"> que corresponda, </w:t>
      </w:r>
      <w:proofErr w:type="spellStart"/>
      <w:r>
        <w:rPr>
          <w:rFonts w:ascii="Century Gothic" w:eastAsia="Century Gothic" w:hAnsi="Century Gothic" w:cs="Century Gothic"/>
        </w:rPr>
        <w:t>señalando</w:t>
      </w:r>
      <w:proofErr w:type="spellEnd"/>
      <w:r>
        <w:rPr>
          <w:rFonts w:ascii="Century Gothic" w:eastAsia="Century Gothic" w:hAnsi="Century Gothic" w:cs="Century Gothic"/>
        </w:rPr>
        <w:t xml:space="preserve"> el inicio y fin del periodo del cargo, y se </w:t>
      </w:r>
      <w:proofErr w:type="spellStart"/>
      <w:r>
        <w:rPr>
          <w:rFonts w:ascii="Century Gothic" w:eastAsia="Century Gothic" w:hAnsi="Century Gothic" w:cs="Century Gothic"/>
        </w:rPr>
        <w:t>debera</w:t>
      </w:r>
      <w:proofErr w:type="spellEnd"/>
      <w:r>
        <w:rPr>
          <w:rFonts w:ascii="Century Gothic" w:eastAsia="Century Gothic" w:hAnsi="Century Gothic" w:cs="Century Gothic"/>
        </w:rPr>
        <w:t xml:space="preserve">́ publicar en el </w:t>
      </w:r>
      <w:proofErr w:type="spellStart"/>
      <w:r>
        <w:rPr>
          <w:rFonts w:ascii="Century Gothic" w:eastAsia="Century Gothic" w:hAnsi="Century Gothic" w:cs="Century Gothic"/>
        </w:rPr>
        <w:t>Periódico</w:t>
      </w:r>
      <w:proofErr w:type="spellEnd"/>
      <w:r>
        <w:rPr>
          <w:rFonts w:ascii="Century Gothic" w:eastAsia="Century Gothic" w:hAnsi="Century Gothic" w:cs="Century Gothic"/>
        </w:rPr>
        <w:t xml:space="preserve"> Oficial del Estado de Quintana Roo. </w:t>
      </w:r>
    </w:p>
    <w:p w14:paraId="21861F41" w14:textId="77777777" w:rsidR="00627C05" w:rsidRDefault="00627C05">
      <w:pPr>
        <w:pBdr>
          <w:top w:val="nil"/>
          <w:left w:val="nil"/>
          <w:bottom w:val="nil"/>
          <w:right w:val="nil"/>
          <w:between w:val="nil"/>
        </w:pBdr>
        <w:ind w:right="-93"/>
        <w:rPr>
          <w:rFonts w:ascii="Century Gothic" w:eastAsia="Century Gothic" w:hAnsi="Century Gothic" w:cs="Century Gothic"/>
          <w:sz w:val="21"/>
          <w:szCs w:val="21"/>
        </w:rPr>
      </w:pPr>
    </w:p>
    <w:p w14:paraId="15569334" w14:textId="77777777" w:rsidR="00F825D9" w:rsidRDefault="00F825D9">
      <w:pPr>
        <w:pBdr>
          <w:top w:val="nil"/>
          <w:left w:val="nil"/>
          <w:bottom w:val="nil"/>
          <w:right w:val="nil"/>
          <w:between w:val="nil"/>
        </w:pBdr>
        <w:ind w:right="-93"/>
        <w:jc w:val="both"/>
        <w:rPr>
          <w:rFonts w:ascii="Century Gothic" w:eastAsia="Century Gothic" w:hAnsi="Century Gothic" w:cs="Century Gothic"/>
          <w:b/>
          <w:sz w:val="21"/>
          <w:szCs w:val="21"/>
        </w:rPr>
      </w:pPr>
    </w:p>
    <w:p w14:paraId="3169CCBE" w14:textId="7AB538F2" w:rsidR="00627C05" w:rsidRDefault="00000000">
      <w:pPr>
        <w:pBdr>
          <w:top w:val="nil"/>
          <w:left w:val="nil"/>
          <w:bottom w:val="nil"/>
          <w:right w:val="nil"/>
          <w:between w:val="nil"/>
        </w:pBdr>
        <w:ind w:right="-93"/>
        <w:jc w:val="both"/>
        <w:rPr>
          <w:rFonts w:ascii="Century Gothic" w:eastAsia="Century Gothic" w:hAnsi="Century Gothic" w:cs="Century Gothic"/>
          <w:b/>
          <w:color w:val="000000"/>
          <w:sz w:val="21"/>
          <w:szCs w:val="21"/>
        </w:rPr>
      </w:pPr>
      <w:r>
        <w:rPr>
          <w:rFonts w:ascii="Century Gothic" w:eastAsia="Century Gothic" w:hAnsi="Century Gothic" w:cs="Century Gothic"/>
          <w:b/>
          <w:sz w:val="21"/>
          <w:szCs w:val="21"/>
        </w:rPr>
        <w:t>DECIMOPRIMERA</w:t>
      </w:r>
      <w:r>
        <w:rPr>
          <w:rFonts w:ascii="Century Gothic" w:eastAsia="Century Gothic" w:hAnsi="Century Gothic" w:cs="Century Gothic"/>
          <w:b/>
          <w:color w:val="000000"/>
          <w:sz w:val="21"/>
          <w:szCs w:val="21"/>
        </w:rPr>
        <w:t xml:space="preserve">. Interpretación.  </w:t>
      </w:r>
    </w:p>
    <w:p w14:paraId="42E05D7B" w14:textId="77777777" w:rsidR="00627C05" w:rsidRDefault="00000000">
      <w:pPr>
        <w:pBdr>
          <w:top w:val="nil"/>
          <w:left w:val="nil"/>
          <w:bottom w:val="nil"/>
          <w:right w:val="nil"/>
          <w:between w:val="nil"/>
        </w:pBdr>
        <w:ind w:right="-93"/>
        <w:jc w:val="both"/>
        <w:rPr>
          <w:rFonts w:ascii="Century Gothic" w:eastAsia="Century Gothic" w:hAnsi="Century Gothic" w:cs="Century Gothic"/>
          <w:color w:val="000000"/>
          <w:sz w:val="21"/>
          <w:szCs w:val="21"/>
        </w:rPr>
      </w:pPr>
      <w:r>
        <w:rPr>
          <w:rFonts w:ascii="Century Gothic" w:eastAsia="Century Gothic" w:hAnsi="Century Gothic" w:cs="Century Gothic"/>
          <w:color w:val="000000"/>
          <w:sz w:val="21"/>
          <w:szCs w:val="21"/>
        </w:rPr>
        <w:t xml:space="preserve">Los casos y circunstancias no previstas en la presente </w:t>
      </w:r>
      <w:proofErr w:type="gramStart"/>
      <w:r>
        <w:rPr>
          <w:rFonts w:ascii="Century Gothic" w:eastAsia="Century Gothic" w:hAnsi="Century Gothic" w:cs="Century Gothic"/>
          <w:color w:val="000000"/>
          <w:sz w:val="21"/>
          <w:szCs w:val="21"/>
        </w:rPr>
        <w:t>Convocatoria,</w:t>
      </w:r>
      <w:proofErr w:type="gramEnd"/>
      <w:r>
        <w:rPr>
          <w:rFonts w:ascii="Century Gothic" w:eastAsia="Century Gothic" w:hAnsi="Century Gothic" w:cs="Century Gothic"/>
          <w:color w:val="000000"/>
          <w:sz w:val="21"/>
          <w:szCs w:val="21"/>
        </w:rPr>
        <w:t xml:space="preserve"> serán resueltos por el CPC en sesiones públicas, que al efecto se convoquen por su Presidenta, a las cuales se podrá invitar a organizaciones de la sociedad civil como grupos de acompañamiento para que emitan sus opiniones respecto de las problemáticas planteadas. Las interpretaciones del CPC serán públicas e inimpugnables.</w:t>
      </w:r>
    </w:p>
    <w:p w14:paraId="346F03F6" w14:textId="77777777" w:rsidR="00627C05" w:rsidRDefault="00627C05">
      <w:pPr>
        <w:pBdr>
          <w:top w:val="nil"/>
          <w:left w:val="nil"/>
          <w:bottom w:val="nil"/>
          <w:right w:val="nil"/>
          <w:between w:val="nil"/>
        </w:pBdr>
        <w:ind w:right="-93"/>
        <w:rPr>
          <w:rFonts w:ascii="Century Gothic" w:eastAsia="Century Gothic" w:hAnsi="Century Gothic" w:cs="Century Gothic"/>
          <w:color w:val="000000"/>
          <w:sz w:val="21"/>
          <w:szCs w:val="21"/>
        </w:rPr>
      </w:pPr>
    </w:p>
    <w:p w14:paraId="55BE0D70" w14:textId="77777777" w:rsidR="00F825D9" w:rsidRDefault="00F825D9">
      <w:pPr>
        <w:pBdr>
          <w:top w:val="nil"/>
          <w:left w:val="nil"/>
          <w:bottom w:val="nil"/>
          <w:right w:val="nil"/>
          <w:between w:val="nil"/>
        </w:pBdr>
        <w:ind w:right="-93"/>
        <w:jc w:val="both"/>
        <w:rPr>
          <w:rFonts w:ascii="Century Gothic" w:eastAsia="Century Gothic" w:hAnsi="Century Gothic" w:cs="Century Gothic"/>
          <w:b/>
          <w:color w:val="000000"/>
          <w:sz w:val="21"/>
          <w:szCs w:val="21"/>
        </w:rPr>
      </w:pPr>
    </w:p>
    <w:p w14:paraId="21F7CAC3" w14:textId="7716700E" w:rsidR="00627C05" w:rsidRDefault="00000000">
      <w:pPr>
        <w:pBdr>
          <w:top w:val="nil"/>
          <w:left w:val="nil"/>
          <w:bottom w:val="nil"/>
          <w:right w:val="nil"/>
          <w:between w:val="nil"/>
        </w:pBdr>
        <w:ind w:right="-93"/>
        <w:jc w:val="both"/>
        <w:rPr>
          <w:rFonts w:ascii="Century Gothic" w:eastAsia="Century Gothic" w:hAnsi="Century Gothic" w:cs="Century Gothic"/>
          <w:b/>
          <w:color w:val="000000"/>
          <w:sz w:val="21"/>
          <w:szCs w:val="21"/>
        </w:rPr>
      </w:pPr>
      <w:r>
        <w:rPr>
          <w:rFonts w:ascii="Century Gothic" w:eastAsia="Century Gothic" w:hAnsi="Century Gothic" w:cs="Century Gothic"/>
          <w:b/>
          <w:color w:val="000000"/>
          <w:sz w:val="21"/>
          <w:szCs w:val="21"/>
        </w:rPr>
        <w:t>D</w:t>
      </w:r>
      <w:r>
        <w:rPr>
          <w:rFonts w:ascii="Century Gothic" w:eastAsia="Century Gothic" w:hAnsi="Century Gothic" w:cs="Century Gothic"/>
          <w:b/>
          <w:sz w:val="21"/>
          <w:szCs w:val="21"/>
        </w:rPr>
        <w:t>E</w:t>
      </w:r>
      <w:r>
        <w:rPr>
          <w:rFonts w:ascii="Century Gothic" w:eastAsia="Century Gothic" w:hAnsi="Century Gothic" w:cs="Century Gothic"/>
          <w:b/>
          <w:color w:val="000000"/>
          <w:sz w:val="21"/>
          <w:szCs w:val="21"/>
        </w:rPr>
        <w:t>CIM</w:t>
      </w:r>
      <w:r>
        <w:rPr>
          <w:rFonts w:ascii="Century Gothic" w:eastAsia="Century Gothic" w:hAnsi="Century Gothic" w:cs="Century Gothic"/>
          <w:b/>
          <w:sz w:val="21"/>
          <w:szCs w:val="21"/>
        </w:rPr>
        <w:t>OSEGUNDA</w:t>
      </w:r>
      <w:r>
        <w:rPr>
          <w:rFonts w:ascii="Century Gothic" w:eastAsia="Century Gothic" w:hAnsi="Century Gothic" w:cs="Century Gothic"/>
          <w:b/>
          <w:color w:val="000000"/>
          <w:sz w:val="21"/>
          <w:szCs w:val="21"/>
        </w:rPr>
        <w:t xml:space="preserve">. Modificaciones. </w:t>
      </w:r>
    </w:p>
    <w:p w14:paraId="3A2A5EE0" w14:textId="77777777" w:rsidR="00627C05" w:rsidRDefault="00000000">
      <w:pPr>
        <w:pBdr>
          <w:top w:val="nil"/>
          <w:left w:val="nil"/>
          <w:bottom w:val="nil"/>
          <w:right w:val="nil"/>
          <w:between w:val="nil"/>
        </w:pBdr>
        <w:ind w:right="-93"/>
        <w:jc w:val="both"/>
        <w:rPr>
          <w:rFonts w:ascii="Century Gothic" w:eastAsia="Century Gothic" w:hAnsi="Century Gothic" w:cs="Century Gothic"/>
          <w:color w:val="000000"/>
          <w:sz w:val="21"/>
          <w:szCs w:val="21"/>
        </w:rPr>
      </w:pPr>
      <w:r>
        <w:rPr>
          <w:rFonts w:ascii="Century Gothic" w:eastAsia="Century Gothic" w:hAnsi="Century Gothic" w:cs="Century Gothic"/>
          <w:color w:val="000000"/>
          <w:sz w:val="21"/>
          <w:szCs w:val="21"/>
        </w:rPr>
        <w:t>Las modificaciones que, en su caso, se realicen a la presente Convocatoria, serán por acuerdo de la mayoría de los y las integrantes del CPC, en sesión pública, misma que una vez aprobada formará parte integral de la misma.</w:t>
      </w:r>
    </w:p>
    <w:p w14:paraId="06868E85" w14:textId="77777777" w:rsidR="00627C05" w:rsidRDefault="00627C05">
      <w:pPr>
        <w:pBdr>
          <w:top w:val="nil"/>
          <w:left w:val="nil"/>
          <w:bottom w:val="nil"/>
          <w:right w:val="nil"/>
          <w:between w:val="nil"/>
        </w:pBdr>
        <w:ind w:right="-93"/>
        <w:rPr>
          <w:rFonts w:ascii="Century Gothic" w:eastAsia="Century Gothic" w:hAnsi="Century Gothic" w:cs="Century Gothic"/>
          <w:color w:val="000000"/>
          <w:sz w:val="21"/>
          <w:szCs w:val="21"/>
        </w:rPr>
      </w:pPr>
    </w:p>
    <w:p w14:paraId="6D1154CB" w14:textId="77777777" w:rsidR="00F825D9" w:rsidRDefault="00F825D9">
      <w:pPr>
        <w:pBdr>
          <w:top w:val="nil"/>
          <w:left w:val="nil"/>
          <w:bottom w:val="nil"/>
          <w:right w:val="nil"/>
          <w:between w:val="nil"/>
        </w:pBdr>
        <w:ind w:right="-93"/>
        <w:jc w:val="both"/>
        <w:rPr>
          <w:rFonts w:ascii="Century Gothic" w:eastAsia="Century Gothic" w:hAnsi="Century Gothic" w:cs="Century Gothic"/>
          <w:b/>
          <w:sz w:val="21"/>
          <w:szCs w:val="21"/>
        </w:rPr>
      </w:pPr>
    </w:p>
    <w:p w14:paraId="7316414E" w14:textId="4C0B6AE9" w:rsidR="00627C05" w:rsidRDefault="00000000">
      <w:pPr>
        <w:pBdr>
          <w:top w:val="nil"/>
          <w:left w:val="nil"/>
          <w:bottom w:val="nil"/>
          <w:right w:val="nil"/>
          <w:between w:val="nil"/>
        </w:pBdr>
        <w:ind w:right="-93"/>
        <w:jc w:val="both"/>
        <w:rPr>
          <w:rFonts w:ascii="Century Gothic" w:eastAsia="Century Gothic" w:hAnsi="Century Gothic" w:cs="Century Gothic"/>
          <w:color w:val="000000"/>
          <w:sz w:val="21"/>
          <w:szCs w:val="21"/>
        </w:rPr>
      </w:pPr>
      <w:r>
        <w:rPr>
          <w:rFonts w:ascii="Century Gothic" w:eastAsia="Century Gothic" w:hAnsi="Century Gothic" w:cs="Century Gothic"/>
          <w:b/>
          <w:sz w:val="21"/>
          <w:szCs w:val="21"/>
        </w:rPr>
        <w:t>DECIMOTERCERA.</w:t>
      </w:r>
      <w:r>
        <w:rPr>
          <w:rFonts w:ascii="Century Gothic" w:eastAsia="Century Gothic" w:hAnsi="Century Gothic" w:cs="Century Gothic"/>
          <w:b/>
          <w:color w:val="000000"/>
          <w:sz w:val="21"/>
          <w:szCs w:val="21"/>
        </w:rPr>
        <w:t xml:space="preserve"> Ampliación de la convocatoria</w:t>
      </w:r>
      <w:r>
        <w:rPr>
          <w:rFonts w:ascii="Century Gothic" w:eastAsia="Century Gothic" w:hAnsi="Century Gothic" w:cs="Century Gothic"/>
          <w:color w:val="000000"/>
          <w:sz w:val="21"/>
          <w:szCs w:val="21"/>
        </w:rPr>
        <w:t xml:space="preserve">. </w:t>
      </w:r>
    </w:p>
    <w:p w14:paraId="37D447FF" w14:textId="77777777" w:rsidR="00627C05" w:rsidRDefault="00000000">
      <w:pPr>
        <w:pBdr>
          <w:top w:val="nil"/>
          <w:left w:val="nil"/>
          <w:bottom w:val="nil"/>
          <w:right w:val="nil"/>
          <w:between w:val="nil"/>
        </w:pBdr>
        <w:ind w:right="-93"/>
        <w:jc w:val="both"/>
        <w:rPr>
          <w:rFonts w:ascii="Century Gothic" w:eastAsia="Century Gothic" w:hAnsi="Century Gothic" w:cs="Century Gothic"/>
          <w:color w:val="000000"/>
          <w:sz w:val="21"/>
          <w:szCs w:val="21"/>
        </w:rPr>
      </w:pPr>
      <w:r>
        <w:rPr>
          <w:rFonts w:ascii="Century Gothic" w:eastAsia="Century Gothic" w:hAnsi="Century Gothic" w:cs="Century Gothic"/>
          <w:color w:val="000000"/>
          <w:sz w:val="21"/>
          <w:szCs w:val="21"/>
        </w:rPr>
        <w:t>En caso de que no se reciban postulaciones de aspirantes, de conformidad con el principio de igualdad de género</w:t>
      </w:r>
      <w:r>
        <w:rPr>
          <w:rFonts w:ascii="Century Gothic" w:eastAsia="Century Gothic" w:hAnsi="Century Gothic" w:cs="Century Gothic"/>
          <w:sz w:val="21"/>
          <w:szCs w:val="21"/>
        </w:rPr>
        <w:t xml:space="preserve">, </w:t>
      </w:r>
      <w:r>
        <w:rPr>
          <w:rFonts w:ascii="Century Gothic" w:eastAsia="Century Gothic" w:hAnsi="Century Gothic" w:cs="Century Gothic"/>
          <w:color w:val="000000"/>
          <w:sz w:val="21"/>
          <w:szCs w:val="21"/>
        </w:rPr>
        <w:t>el periodo para recibir postulaciones podrá ampliarse hasta por 15 días adicionales.</w:t>
      </w:r>
    </w:p>
    <w:p w14:paraId="65DAC273" w14:textId="77777777" w:rsidR="00627C05" w:rsidRDefault="00627C05">
      <w:pPr>
        <w:pBdr>
          <w:top w:val="nil"/>
          <w:left w:val="nil"/>
          <w:bottom w:val="nil"/>
          <w:right w:val="nil"/>
          <w:between w:val="nil"/>
        </w:pBdr>
        <w:ind w:right="-93"/>
        <w:jc w:val="both"/>
        <w:rPr>
          <w:rFonts w:ascii="Century Gothic" w:eastAsia="Century Gothic" w:hAnsi="Century Gothic" w:cs="Century Gothic"/>
          <w:sz w:val="21"/>
          <w:szCs w:val="21"/>
        </w:rPr>
      </w:pPr>
    </w:p>
    <w:p w14:paraId="027B716E" w14:textId="77777777" w:rsidR="00F825D9" w:rsidRDefault="00F825D9">
      <w:pPr>
        <w:pBdr>
          <w:top w:val="nil"/>
          <w:left w:val="nil"/>
          <w:bottom w:val="nil"/>
          <w:right w:val="nil"/>
          <w:between w:val="nil"/>
        </w:pBdr>
        <w:ind w:right="-93"/>
        <w:jc w:val="both"/>
        <w:rPr>
          <w:rFonts w:ascii="Century Gothic" w:eastAsia="Century Gothic" w:hAnsi="Century Gothic" w:cs="Century Gothic"/>
          <w:b/>
          <w:sz w:val="21"/>
          <w:szCs w:val="21"/>
        </w:rPr>
      </w:pPr>
    </w:p>
    <w:p w14:paraId="14629431" w14:textId="4CEEDC04" w:rsidR="00627C05" w:rsidRDefault="00000000">
      <w:pPr>
        <w:pBdr>
          <w:top w:val="nil"/>
          <w:left w:val="nil"/>
          <w:bottom w:val="nil"/>
          <w:right w:val="nil"/>
          <w:between w:val="nil"/>
        </w:pBdr>
        <w:ind w:right="-93"/>
        <w:jc w:val="both"/>
        <w:rPr>
          <w:rFonts w:ascii="Century Gothic" w:eastAsia="Century Gothic" w:hAnsi="Century Gothic" w:cs="Century Gothic"/>
          <w:b/>
          <w:sz w:val="21"/>
          <w:szCs w:val="21"/>
        </w:rPr>
      </w:pPr>
      <w:r>
        <w:rPr>
          <w:rFonts w:ascii="Century Gothic" w:eastAsia="Century Gothic" w:hAnsi="Century Gothic" w:cs="Century Gothic"/>
          <w:b/>
          <w:sz w:val="21"/>
          <w:szCs w:val="21"/>
        </w:rPr>
        <w:t xml:space="preserve">DECIMOCUARTA. Concurso desierto </w:t>
      </w:r>
    </w:p>
    <w:p w14:paraId="24DBCA2F" w14:textId="77777777" w:rsidR="00627C05" w:rsidRDefault="00000000">
      <w:pPr>
        <w:pBdr>
          <w:top w:val="nil"/>
          <w:left w:val="nil"/>
          <w:bottom w:val="nil"/>
          <w:right w:val="nil"/>
          <w:between w:val="nil"/>
        </w:pBdr>
        <w:ind w:right="-93"/>
        <w:jc w:val="both"/>
        <w:rPr>
          <w:rFonts w:ascii="Century Gothic" w:eastAsia="Century Gothic" w:hAnsi="Century Gothic" w:cs="Century Gothic"/>
          <w:sz w:val="21"/>
          <w:szCs w:val="21"/>
        </w:rPr>
      </w:pPr>
      <w:r>
        <w:rPr>
          <w:rFonts w:ascii="Century Gothic" w:eastAsia="Century Gothic" w:hAnsi="Century Gothic" w:cs="Century Gothic"/>
          <w:sz w:val="21"/>
          <w:szCs w:val="21"/>
        </w:rPr>
        <w:t xml:space="preserve">En caso de haber agotado todas las fases previstas en la metodología de evaluación y </w:t>
      </w:r>
      <w:r>
        <w:rPr>
          <w:rFonts w:ascii="Century Gothic" w:eastAsia="Century Gothic" w:hAnsi="Century Gothic" w:cs="Century Gothic"/>
          <w:sz w:val="21"/>
          <w:szCs w:val="21"/>
        </w:rPr>
        <w:lastRenderedPageBreak/>
        <w:t xml:space="preserve">no contar con ningún perfil que haya alcanzado la calificación mínima aprobatoria, el proceso se declarará desierto y se abrirá una nueva convocatoria para integrar la terna. </w:t>
      </w:r>
    </w:p>
    <w:p w14:paraId="1EE83143" w14:textId="77777777" w:rsidR="00627C05" w:rsidRDefault="00627C05">
      <w:pPr>
        <w:pBdr>
          <w:top w:val="nil"/>
          <w:left w:val="nil"/>
          <w:bottom w:val="nil"/>
          <w:right w:val="nil"/>
          <w:between w:val="nil"/>
        </w:pBdr>
        <w:ind w:right="-93"/>
        <w:jc w:val="both"/>
        <w:rPr>
          <w:rFonts w:ascii="Century Gothic" w:eastAsia="Century Gothic" w:hAnsi="Century Gothic" w:cs="Century Gothic"/>
          <w:sz w:val="21"/>
          <w:szCs w:val="21"/>
        </w:rPr>
      </w:pPr>
    </w:p>
    <w:p w14:paraId="2C91D74E" w14:textId="77777777" w:rsidR="00F825D9" w:rsidRDefault="00F825D9">
      <w:pPr>
        <w:pBdr>
          <w:top w:val="nil"/>
          <w:left w:val="nil"/>
          <w:bottom w:val="nil"/>
          <w:right w:val="nil"/>
          <w:between w:val="nil"/>
        </w:pBdr>
        <w:ind w:right="-93"/>
        <w:jc w:val="both"/>
        <w:rPr>
          <w:rFonts w:ascii="Century Gothic" w:eastAsia="Century Gothic" w:hAnsi="Century Gothic" w:cs="Century Gothic"/>
          <w:b/>
          <w:sz w:val="21"/>
          <w:szCs w:val="21"/>
        </w:rPr>
      </w:pPr>
    </w:p>
    <w:p w14:paraId="4CB6960E" w14:textId="54BB329F" w:rsidR="00627C05" w:rsidRDefault="00000000">
      <w:pPr>
        <w:pBdr>
          <w:top w:val="nil"/>
          <w:left w:val="nil"/>
          <w:bottom w:val="nil"/>
          <w:right w:val="nil"/>
          <w:between w:val="nil"/>
        </w:pBdr>
        <w:ind w:right="-93"/>
        <w:jc w:val="both"/>
        <w:rPr>
          <w:rFonts w:ascii="Century Gothic" w:eastAsia="Century Gothic" w:hAnsi="Century Gothic" w:cs="Century Gothic"/>
          <w:b/>
          <w:sz w:val="21"/>
          <w:szCs w:val="21"/>
        </w:rPr>
      </w:pPr>
      <w:r>
        <w:rPr>
          <w:rFonts w:ascii="Century Gothic" w:eastAsia="Century Gothic" w:hAnsi="Century Gothic" w:cs="Century Gothic"/>
          <w:b/>
          <w:sz w:val="21"/>
          <w:szCs w:val="21"/>
        </w:rPr>
        <w:t>DECIMOQUINTA. Concurso sin posibilidades de conformar una terna</w:t>
      </w:r>
    </w:p>
    <w:p w14:paraId="13A77234" w14:textId="77777777" w:rsidR="00627C05" w:rsidRDefault="00000000">
      <w:pPr>
        <w:ind w:right="-93"/>
        <w:jc w:val="both"/>
        <w:rPr>
          <w:rFonts w:ascii="Century Gothic" w:eastAsia="Century Gothic" w:hAnsi="Century Gothic" w:cs="Century Gothic"/>
          <w:sz w:val="21"/>
          <w:szCs w:val="21"/>
        </w:rPr>
      </w:pPr>
      <w:r>
        <w:rPr>
          <w:rFonts w:ascii="Century Gothic" w:eastAsia="Century Gothic" w:hAnsi="Century Gothic" w:cs="Century Gothic"/>
          <w:sz w:val="21"/>
          <w:szCs w:val="21"/>
        </w:rPr>
        <w:t>En caso de haber agotado todas las fases previstas en la metodología de evaluación y no contar con al menos 3 personas que hayan alcanzado la calificación mínima aprobatoria, se abrirá una nueva convocatoria para ocupar el o los dos lugares correspondientes. En dicho caso, el lugar de la o las personas con calificaciones aprobatorias en la primera convocatoria, quedará a salvo y la nueva convocatoria se realizará, de manera expresa para cubrir uno o dos espacios de la terna, según sea el caso.</w:t>
      </w:r>
    </w:p>
    <w:p w14:paraId="19D4E393" w14:textId="77777777" w:rsidR="00627C05" w:rsidRDefault="00627C05">
      <w:pPr>
        <w:pBdr>
          <w:top w:val="nil"/>
          <w:left w:val="nil"/>
          <w:bottom w:val="nil"/>
          <w:right w:val="nil"/>
          <w:between w:val="nil"/>
        </w:pBdr>
        <w:rPr>
          <w:rFonts w:ascii="Century Gothic" w:eastAsia="Century Gothic" w:hAnsi="Century Gothic" w:cs="Century Gothic"/>
          <w:color w:val="000000"/>
          <w:sz w:val="21"/>
          <w:szCs w:val="21"/>
        </w:rPr>
      </w:pPr>
    </w:p>
    <w:p w14:paraId="172B381A" w14:textId="77777777" w:rsidR="00627C05" w:rsidRDefault="00627C05">
      <w:pPr>
        <w:pBdr>
          <w:top w:val="nil"/>
          <w:left w:val="nil"/>
          <w:bottom w:val="nil"/>
          <w:right w:val="nil"/>
          <w:between w:val="nil"/>
        </w:pBdr>
        <w:ind w:left="285" w:right="302"/>
        <w:jc w:val="center"/>
        <w:rPr>
          <w:rFonts w:ascii="Century Gothic" w:eastAsia="Century Gothic" w:hAnsi="Century Gothic" w:cs="Century Gothic"/>
          <w:color w:val="000000"/>
          <w:sz w:val="21"/>
          <w:szCs w:val="21"/>
        </w:rPr>
      </w:pPr>
    </w:p>
    <w:p w14:paraId="7013EBAC" w14:textId="77777777" w:rsidR="00627C05" w:rsidRDefault="00627C05">
      <w:pPr>
        <w:pBdr>
          <w:top w:val="nil"/>
          <w:left w:val="nil"/>
          <w:bottom w:val="nil"/>
          <w:right w:val="nil"/>
          <w:between w:val="nil"/>
        </w:pBdr>
        <w:ind w:left="285" w:right="302"/>
        <w:jc w:val="center"/>
        <w:rPr>
          <w:rFonts w:ascii="Century Gothic" w:eastAsia="Century Gothic" w:hAnsi="Century Gothic" w:cs="Century Gothic"/>
          <w:color w:val="000000"/>
          <w:sz w:val="21"/>
          <w:szCs w:val="21"/>
        </w:rPr>
      </w:pPr>
    </w:p>
    <w:p w14:paraId="47452875" w14:textId="77777777" w:rsidR="00627C05" w:rsidRDefault="00000000">
      <w:pPr>
        <w:pBdr>
          <w:top w:val="nil"/>
          <w:left w:val="nil"/>
          <w:bottom w:val="nil"/>
          <w:right w:val="nil"/>
          <w:between w:val="nil"/>
        </w:pBdr>
        <w:ind w:left="285" w:right="302"/>
        <w:jc w:val="center"/>
        <w:rPr>
          <w:rFonts w:ascii="Century Gothic" w:eastAsia="Century Gothic" w:hAnsi="Century Gothic" w:cs="Century Gothic"/>
          <w:color w:val="000000"/>
          <w:sz w:val="21"/>
          <w:szCs w:val="21"/>
        </w:rPr>
      </w:pPr>
      <w:r>
        <w:rPr>
          <w:rFonts w:ascii="Century Gothic" w:eastAsia="Century Gothic" w:hAnsi="Century Gothic" w:cs="Century Gothic"/>
          <w:color w:val="000000"/>
          <w:sz w:val="21"/>
          <w:szCs w:val="21"/>
        </w:rPr>
        <w:t xml:space="preserve">Ciudad de Cancún, Quintana Roo a </w:t>
      </w:r>
      <w:r>
        <w:rPr>
          <w:rFonts w:ascii="Century Gothic" w:eastAsia="Century Gothic" w:hAnsi="Century Gothic" w:cs="Century Gothic"/>
          <w:sz w:val="21"/>
          <w:szCs w:val="21"/>
        </w:rPr>
        <w:t>6</w:t>
      </w:r>
      <w:r>
        <w:rPr>
          <w:rFonts w:ascii="Century Gothic" w:eastAsia="Century Gothic" w:hAnsi="Century Gothic" w:cs="Century Gothic"/>
          <w:color w:val="000000"/>
          <w:sz w:val="21"/>
          <w:szCs w:val="21"/>
        </w:rPr>
        <w:t xml:space="preserve"> de </w:t>
      </w:r>
      <w:r>
        <w:rPr>
          <w:rFonts w:ascii="Century Gothic" w:eastAsia="Century Gothic" w:hAnsi="Century Gothic" w:cs="Century Gothic"/>
          <w:sz w:val="21"/>
          <w:szCs w:val="21"/>
        </w:rPr>
        <w:t>junio</w:t>
      </w:r>
      <w:r>
        <w:rPr>
          <w:rFonts w:ascii="Century Gothic" w:eastAsia="Century Gothic" w:hAnsi="Century Gothic" w:cs="Century Gothic"/>
          <w:color w:val="000000"/>
          <w:sz w:val="21"/>
          <w:szCs w:val="21"/>
        </w:rPr>
        <w:t xml:space="preserve"> de 2023</w:t>
      </w:r>
    </w:p>
    <w:p w14:paraId="432DFDD3" w14:textId="77777777" w:rsidR="00627C05" w:rsidRDefault="00627C05">
      <w:pPr>
        <w:pBdr>
          <w:top w:val="nil"/>
          <w:left w:val="nil"/>
          <w:bottom w:val="nil"/>
          <w:right w:val="nil"/>
          <w:between w:val="nil"/>
        </w:pBdr>
        <w:ind w:right="302"/>
        <w:rPr>
          <w:rFonts w:ascii="Century Gothic" w:eastAsia="Century Gothic" w:hAnsi="Century Gothic" w:cs="Century Gothic"/>
          <w:color w:val="000000"/>
          <w:sz w:val="21"/>
          <w:szCs w:val="21"/>
        </w:rPr>
      </w:pPr>
    </w:p>
    <w:p w14:paraId="566F6204" w14:textId="77777777" w:rsidR="00627C05" w:rsidRDefault="00627C05">
      <w:pPr>
        <w:pBdr>
          <w:top w:val="nil"/>
          <w:left w:val="nil"/>
          <w:bottom w:val="nil"/>
          <w:right w:val="nil"/>
          <w:between w:val="nil"/>
        </w:pBdr>
        <w:ind w:right="302"/>
        <w:rPr>
          <w:rFonts w:ascii="Century Gothic" w:eastAsia="Century Gothic" w:hAnsi="Century Gothic" w:cs="Century Gothic"/>
          <w:color w:val="000000"/>
          <w:sz w:val="21"/>
          <w:szCs w:val="21"/>
        </w:rPr>
      </w:pPr>
    </w:p>
    <w:p w14:paraId="0A100F8B" w14:textId="77777777" w:rsidR="00627C05" w:rsidRDefault="00627C05">
      <w:pPr>
        <w:pBdr>
          <w:top w:val="nil"/>
          <w:left w:val="nil"/>
          <w:bottom w:val="nil"/>
          <w:right w:val="nil"/>
          <w:between w:val="nil"/>
        </w:pBdr>
        <w:ind w:right="302"/>
        <w:rPr>
          <w:rFonts w:ascii="Century Gothic" w:eastAsia="Century Gothic" w:hAnsi="Century Gothic" w:cs="Century Gothic"/>
          <w:color w:val="000000"/>
          <w:sz w:val="21"/>
          <w:szCs w:val="21"/>
        </w:rPr>
      </w:pPr>
    </w:p>
    <w:p w14:paraId="2531040A" w14:textId="77777777" w:rsidR="00627C05" w:rsidRDefault="00627C05">
      <w:pPr>
        <w:pBdr>
          <w:top w:val="nil"/>
          <w:left w:val="nil"/>
          <w:bottom w:val="nil"/>
          <w:right w:val="nil"/>
          <w:between w:val="nil"/>
        </w:pBdr>
        <w:ind w:right="302"/>
        <w:rPr>
          <w:rFonts w:ascii="Century Gothic" w:eastAsia="Century Gothic" w:hAnsi="Century Gothic" w:cs="Century Gothic"/>
          <w:color w:val="000000"/>
          <w:sz w:val="21"/>
          <w:szCs w:val="21"/>
        </w:rPr>
      </w:pPr>
    </w:p>
    <w:p w14:paraId="6474C47B" w14:textId="77777777" w:rsidR="00627C05" w:rsidRDefault="00000000">
      <w:pPr>
        <w:pBdr>
          <w:top w:val="nil"/>
          <w:left w:val="nil"/>
          <w:bottom w:val="nil"/>
          <w:right w:val="nil"/>
          <w:between w:val="nil"/>
        </w:pBdr>
        <w:jc w:val="center"/>
        <w:rPr>
          <w:rFonts w:ascii="Century Gothic" w:eastAsia="Century Gothic" w:hAnsi="Century Gothic" w:cs="Century Gothic"/>
          <w:b/>
          <w:color w:val="000000"/>
          <w:sz w:val="21"/>
          <w:szCs w:val="21"/>
        </w:rPr>
      </w:pPr>
      <w:r>
        <w:rPr>
          <w:rFonts w:ascii="Century Gothic" w:eastAsia="Century Gothic" w:hAnsi="Century Gothic" w:cs="Century Gothic"/>
          <w:b/>
          <w:sz w:val="21"/>
          <w:szCs w:val="21"/>
        </w:rPr>
        <w:t>ATENTAMENTE</w:t>
      </w:r>
    </w:p>
    <w:p w14:paraId="6EA27C25" w14:textId="77777777" w:rsidR="00627C05" w:rsidRDefault="00000000">
      <w:pPr>
        <w:ind w:left="285" w:right="303"/>
        <w:jc w:val="center"/>
        <w:rPr>
          <w:rFonts w:ascii="Century Gothic" w:eastAsia="Century Gothic" w:hAnsi="Century Gothic" w:cs="Century Gothic"/>
          <w:b/>
          <w:sz w:val="21"/>
          <w:szCs w:val="21"/>
        </w:rPr>
      </w:pPr>
      <w:r>
        <w:rPr>
          <w:rFonts w:ascii="Century Gothic" w:eastAsia="Century Gothic" w:hAnsi="Century Gothic" w:cs="Century Gothic"/>
          <w:b/>
          <w:sz w:val="21"/>
          <w:szCs w:val="21"/>
        </w:rPr>
        <w:t>COMITÉ DE PARTICIPACIÓN CIUDADANA DEL SISTEMA ANTICORRUPCIÓN DEL ESTADO DE QUINTANA ROO</w:t>
      </w:r>
    </w:p>
    <w:sectPr w:rsidR="00627C05">
      <w:headerReference w:type="default" r:id="rId10"/>
      <w:footerReference w:type="even" r:id="rId11"/>
      <w:footerReference w:type="default" r:id="rId12"/>
      <w:headerReference w:type="first" r:id="rId13"/>
      <w:footerReference w:type="first" r:id="rId14"/>
      <w:pgSz w:w="12240" w:h="15840"/>
      <w:pgMar w:top="1417" w:right="1701" w:bottom="1417" w:left="1701" w:header="833" w:footer="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212387" w14:textId="77777777" w:rsidR="006370E1" w:rsidRDefault="006370E1">
      <w:r>
        <w:separator/>
      </w:r>
    </w:p>
  </w:endnote>
  <w:endnote w:type="continuationSeparator" w:id="0">
    <w:p w14:paraId="716318AC" w14:textId="77777777" w:rsidR="006370E1" w:rsidRDefault="006370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Times New Roman"/>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MT">
    <w:altName w:val="Arial"/>
    <w:panose1 w:val="020B0604020202020204"/>
    <w:charset w:val="00"/>
    <w:family w:val="auto"/>
    <w:pitch w:val="default"/>
  </w:font>
  <w:font w:name="Arial">
    <w:panose1 w:val="020B0604020202020204"/>
    <w:charset w:val="00"/>
    <w:family w:val="swiss"/>
    <w:pitch w:val="variable"/>
    <w:sig w:usb0="E0002AFF" w:usb1="C0007843"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205A9C" w14:textId="77777777" w:rsidR="00627C05" w:rsidRDefault="00000000">
    <w:pPr>
      <w:pBdr>
        <w:top w:val="nil"/>
        <w:left w:val="nil"/>
        <w:bottom w:val="nil"/>
        <w:right w:val="nil"/>
        <w:between w:val="nil"/>
      </w:pBdr>
      <w:tabs>
        <w:tab w:val="center" w:pos="4419"/>
        <w:tab w:val="right" w:pos="8838"/>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4140D489" w14:textId="77777777" w:rsidR="00627C05" w:rsidRDefault="00627C05">
    <w:pPr>
      <w:pBdr>
        <w:top w:val="nil"/>
        <w:left w:val="nil"/>
        <w:bottom w:val="nil"/>
        <w:right w:val="nil"/>
        <w:between w:val="nil"/>
      </w:pBdr>
      <w:tabs>
        <w:tab w:val="center" w:pos="4419"/>
        <w:tab w:val="right" w:pos="8838"/>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2399B8" w14:textId="77777777" w:rsidR="00627C05" w:rsidRDefault="00000000">
    <w:pPr>
      <w:pBdr>
        <w:top w:val="nil"/>
        <w:left w:val="nil"/>
        <w:bottom w:val="nil"/>
        <w:right w:val="nil"/>
        <w:between w:val="nil"/>
      </w:pBdr>
      <w:tabs>
        <w:tab w:val="center" w:pos="4419"/>
        <w:tab w:val="right" w:pos="8838"/>
      </w:tabs>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fldChar w:fldCharType="begin"/>
    </w:r>
    <w:r>
      <w:rPr>
        <w:rFonts w:ascii="Century Gothic" w:eastAsia="Century Gothic" w:hAnsi="Century Gothic" w:cs="Century Gothic"/>
        <w:color w:val="000000"/>
        <w:sz w:val="20"/>
        <w:szCs w:val="20"/>
      </w:rPr>
      <w:instrText>PAGE</w:instrText>
    </w:r>
    <w:r>
      <w:rPr>
        <w:rFonts w:ascii="Century Gothic" w:eastAsia="Century Gothic" w:hAnsi="Century Gothic" w:cs="Century Gothic"/>
        <w:color w:val="000000"/>
        <w:sz w:val="20"/>
        <w:szCs w:val="20"/>
      </w:rPr>
      <w:fldChar w:fldCharType="separate"/>
    </w:r>
    <w:r w:rsidR="00F825D9">
      <w:rPr>
        <w:rFonts w:ascii="Century Gothic" w:eastAsia="Century Gothic" w:hAnsi="Century Gothic" w:cs="Century Gothic"/>
        <w:noProof/>
        <w:color w:val="000000"/>
        <w:sz w:val="20"/>
        <w:szCs w:val="20"/>
      </w:rPr>
      <w:t>1</w:t>
    </w:r>
    <w:r>
      <w:rPr>
        <w:rFonts w:ascii="Century Gothic" w:eastAsia="Century Gothic" w:hAnsi="Century Gothic" w:cs="Century Gothic"/>
        <w:color w:val="000000"/>
        <w:sz w:val="20"/>
        <w:szCs w:val="20"/>
      </w:rPr>
      <w:fldChar w:fldCharType="end"/>
    </w:r>
  </w:p>
  <w:p w14:paraId="49CCF159" w14:textId="77777777" w:rsidR="00627C05" w:rsidRDefault="00627C05">
    <w:pPr>
      <w:ind w:right="360"/>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C8B121" w14:textId="77777777" w:rsidR="00627C05" w:rsidRDefault="00627C0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416A09" w14:textId="77777777" w:rsidR="006370E1" w:rsidRDefault="006370E1">
      <w:r>
        <w:separator/>
      </w:r>
    </w:p>
  </w:footnote>
  <w:footnote w:type="continuationSeparator" w:id="0">
    <w:p w14:paraId="0552C5E2" w14:textId="77777777" w:rsidR="006370E1" w:rsidRDefault="006370E1">
      <w:r>
        <w:continuationSeparator/>
      </w:r>
    </w:p>
  </w:footnote>
  <w:footnote w:id="1">
    <w:p w14:paraId="68B9FFE2" w14:textId="77777777" w:rsidR="00627C05" w:rsidRDefault="00000000">
      <w:pPr>
        <w:rPr>
          <w:rFonts w:ascii="Century Gothic" w:eastAsia="Century Gothic" w:hAnsi="Century Gothic" w:cs="Century Gothic"/>
          <w:sz w:val="16"/>
          <w:szCs w:val="16"/>
        </w:rPr>
      </w:pPr>
      <w:r>
        <w:rPr>
          <w:vertAlign w:val="superscript"/>
        </w:rPr>
        <w:footnoteRef/>
      </w:r>
      <w:r>
        <w:rPr>
          <w:sz w:val="20"/>
          <w:szCs w:val="20"/>
        </w:rPr>
        <w:t xml:space="preserve"> </w:t>
      </w:r>
      <w:r>
        <w:rPr>
          <w:rFonts w:ascii="Century Gothic" w:eastAsia="Century Gothic" w:hAnsi="Century Gothic" w:cs="Century Gothic"/>
          <w:sz w:val="16"/>
          <w:szCs w:val="16"/>
        </w:rPr>
        <w:t>https://cpc.org.mx/proceso2022-convocatoria/</w:t>
      </w:r>
    </w:p>
  </w:footnote>
  <w:footnote w:id="2">
    <w:p w14:paraId="429A6D39" w14:textId="77777777" w:rsidR="00627C05" w:rsidRDefault="00000000">
      <w:pPr>
        <w:rPr>
          <w:rFonts w:ascii="Century Gothic" w:eastAsia="Century Gothic" w:hAnsi="Century Gothic" w:cs="Century Gothic"/>
          <w:sz w:val="16"/>
          <w:szCs w:val="16"/>
        </w:rPr>
      </w:pPr>
      <w:r>
        <w:rPr>
          <w:vertAlign w:val="superscript"/>
        </w:rPr>
        <w:footnoteRef/>
      </w:r>
      <w:r>
        <w:rPr>
          <w:rFonts w:ascii="Century Gothic" w:eastAsia="Century Gothic" w:hAnsi="Century Gothic" w:cs="Century Gothic"/>
          <w:sz w:val="16"/>
          <w:szCs w:val="16"/>
        </w:rPr>
        <w:t xml:space="preserve"> https://designaciones.org/federales/#!/principal</w:t>
      </w:r>
    </w:p>
  </w:footnote>
  <w:footnote w:id="3">
    <w:p w14:paraId="395D01AB" w14:textId="77777777" w:rsidR="00627C05" w:rsidRDefault="00000000">
      <w:pPr>
        <w:rPr>
          <w:rFonts w:ascii="Century Gothic" w:eastAsia="Century Gothic" w:hAnsi="Century Gothic" w:cs="Century Gothic"/>
          <w:sz w:val="16"/>
          <w:szCs w:val="16"/>
        </w:rPr>
      </w:pPr>
      <w:r>
        <w:rPr>
          <w:vertAlign w:val="superscript"/>
        </w:rPr>
        <w:footnoteRef/>
      </w:r>
      <w:r>
        <w:rPr>
          <w:sz w:val="20"/>
          <w:szCs w:val="20"/>
        </w:rPr>
        <w:t xml:space="preserve"> </w:t>
      </w:r>
      <w:r>
        <w:rPr>
          <w:rFonts w:ascii="Century Gothic" w:eastAsia="Century Gothic" w:hAnsi="Century Gothic" w:cs="Century Gothic"/>
          <w:sz w:val="16"/>
          <w:szCs w:val="16"/>
        </w:rPr>
        <w:t>Disponible en: https://dof.gob.mx/nota_detalle.php?codigo=5573194&amp;fecha=23/09/2019#gsc.tab=0</w:t>
      </w:r>
    </w:p>
  </w:footnote>
  <w:footnote w:id="4">
    <w:p w14:paraId="4015CE6B" w14:textId="77777777" w:rsidR="00627C05" w:rsidRDefault="00000000">
      <w:pPr>
        <w:rPr>
          <w:rFonts w:ascii="Century Gothic" w:eastAsia="Century Gothic" w:hAnsi="Century Gothic" w:cs="Century Gothic"/>
          <w:sz w:val="16"/>
          <w:szCs w:val="16"/>
        </w:rPr>
      </w:pPr>
      <w:r>
        <w:rPr>
          <w:vertAlign w:val="superscript"/>
        </w:rPr>
        <w:footnoteRef/>
      </w:r>
      <w:r>
        <w:rPr>
          <w:rFonts w:ascii="Century Gothic" w:eastAsia="Century Gothic" w:hAnsi="Century Gothic" w:cs="Century Gothic"/>
          <w:sz w:val="16"/>
          <w:szCs w:val="16"/>
        </w:rPr>
        <w:t xml:space="preserve"> Formato libre, se sugiere consultar: https://www.gob.mx/sfp/documentos/guia-para-la-identificacion-y-gestion-de-conflictos-de-interes</w:t>
      </w:r>
    </w:p>
  </w:footnote>
  <w:footnote w:id="5">
    <w:p w14:paraId="1F9CBBC9" w14:textId="77777777" w:rsidR="00627C05" w:rsidRDefault="00000000">
      <w:pPr>
        <w:rPr>
          <w:sz w:val="20"/>
          <w:szCs w:val="20"/>
        </w:rPr>
      </w:pPr>
      <w:r>
        <w:rPr>
          <w:vertAlign w:val="superscript"/>
        </w:rPr>
        <w:footnoteRef/>
      </w:r>
      <w:r>
        <w:rPr>
          <w:sz w:val="20"/>
          <w:szCs w:val="20"/>
        </w:rPr>
        <w:t xml:space="preserve"> </w:t>
      </w:r>
      <w:r>
        <w:rPr>
          <w:rFonts w:ascii="Century Gothic" w:eastAsia="Century Gothic" w:hAnsi="Century Gothic" w:cs="Century Gothic"/>
          <w:sz w:val="15"/>
          <w:szCs w:val="15"/>
        </w:rPr>
        <w:t>Modelo de formato disponible en:</w:t>
      </w:r>
      <w:hyperlink r:id="rId1">
        <w:r>
          <w:rPr>
            <w:rFonts w:ascii="Century Gothic" w:eastAsia="Century Gothic" w:hAnsi="Century Gothic" w:cs="Century Gothic"/>
            <w:sz w:val="15"/>
            <w:szCs w:val="15"/>
          </w:rPr>
          <w:t xml:space="preserve"> </w:t>
        </w:r>
      </w:hyperlink>
      <w:hyperlink r:id="rId2">
        <w:r>
          <w:rPr>
            <w:rFonts w:ascii="Century Gothic" w:eastAsia="Century Gothic" w:hAnsi="Century Gothic" w:cs="Century Gothic"/>
            <w:color w:val="0563C1"/>
            <w:sz w:val="15"/>
            <w:szCs w:val="15"/>
            <w:u w:val="single"/>
          </w:rPr>
          <w:t>https://www.ine.mx/wp-content/uploads/2021/04/UTVOPL-2021-3-de-3.pdf</w:t>
        </w:r>
      </w:hyperlink>
    </w:p>
  </w:footnote>
  <w:footnote w:id="6">
    <w:p w14:paraId="5ADCCA7C" w14:textId="77777777" w:rsidR="00627C05" w:rsidRDefault="00000000">
      <w:pPr>
        <w:rPr>
          <w:rFonts w:ascii="Century Gothic" w:eastAsia="Century Gothic" w:hAnsi="Century Gothic" w:cs="Century Gothic"/>
          <w:sz w:val="14"/>
          <w:szCs w:val="14"/>
        </w:rPr>
      </w:pPr>
      <w:r>
        <w:rPr>
          <w:vertAlign w:val="superscript"/>
        </w:rPr>
        <w:footnoteRef/>
      </w:r>
      <w:r>
        <w:rPr>
          <w:rFonts w:ascii="Century Gothic" w:eastAsia="Century Gothic" w:hAnsi="Century Gothic" w:cs="Century Gothic"/>
          <w:sz w:val="14"/>
          <w:szCs w:val="14"/>
        </w:rPr>
        <w:t xml:space="preserve"> Párrafo modificado y aprobado en la Sesión Ordinaria 6 del CPC el día 2 de junio de 2023</w:t>
      </w:r>
    </w:p>
  </w:footnote>
  <w:footnote w:id="7">
    <w:p w14:paraId="6350E74A" w14:textId="77777777" w:rsidR="00627C05" w:rsidRDefault="00000000">
      <w:pPr>
        <w:rPr>
          <w:rFonts w:ascii="Century Gothic" w:eastAsia="Century Gothic" w:hAnsi="Century Gothic" w:cs="Century Gothic"/>
          <w:sz w:val="14"/>
          <w:szCs w:val="14"/>
        </w:rPr>
      </w:pPr>
      <w:r>
        <w:rPr>
          <w:vertAlign w:val="superscript"/>
        </w:rPr>
        <w:footnoteRef/>
      </w:r>
      <w:r>
        <w:rPr>
          <w:rFonts w:ascii="Century Gothic" w:eastAsia="Century Gothic" w:hAnsi="Century Gothic" w:cs="Century Gothic"/>
          <w:sz w:val="16"/>
          <w:szCs w:val="16"/>
        </w:rPr>
        <w:t xml:space="preserve"> </w:t>
      </w:r>
      <w:r>
        <w:rPr>
          <w:rFonts w:ascii="Century Gothic" w:eastAsia="Century Gothic" w:hAnsi="Century Gothic" w:cs="Century Gothic"/>
          <w:sz w:val="14"/>
          <w:szCs w:val="14"/>
        </w:rPr>
        <w:t>Fecha modificada y aprobada en la Sesión Ordinaria 5 del CPC del día 31 de mayo de 2023</w:t>
      </w:r>
    </w:p>
  </w:footnote>
  <w:footnote w:id="8">
    <w:p w14:paraId="31C5DF78" w14:textId="77777777" w:rsidR="00627C05" w:rsidRDefault="00000000">
      <w:pPr>
        <w:rPr>
          <w:rFonts w:ascii="Century Gothic" w:eastAsia="Century Gothic" w:hAnsi="Century Gothic" w:cs="Century Gothic"/>
          <w:sz w:val="14"/>
          <w:szCs w:val="14"/>
        </w:rPr>
      </w:pPr>
      <w:r>
        <w:rPr>
          <w:vertAlign w:val="superscript"/>
        </w:rPr>
        <w:footnoteRef/>
      </w:r>
      <w:r>
        <w:rPr>
          <w:sz w:val="18"/>
          <w:szCs w:val="18"/>
        </w:rPr>
        <w:t xml:space="preserve"> </w:t>
      </w:r>
      <w:r>
        <w:rPr>
          <w:rFonts w:ascii="Century Gothic" w:eastAsia="Century Gothic" w:hAnsi="Century Gothic" w:cs="Century Gothic"/>
          <w:sz w:val="14"/>
          <w:szCs w:val="14"/>
        </w:rPr>
        <w:t>Fecha modificada y aprobada en la Sesión Extraordinaria 1 del CPC del día 6 de junio de 2023</w:t>
      </w:r>
    </w:p>
    <w:p w14:paraId="0F1AD36A" w14:textId="77777777" w:rsidR="00627C05" w:rsidRDefault="00627C05">
      <w:pPr>
        <w:rPr>
          <w:sz w:val="20"/>
          <w:szCs w:val="20"/>
        </w:rPr>
      </w:pPr>
    </w:p>
  </w:footnote>
  <w:footnote w:id="9">
    <w:p w14:paraId="132D54AA" w14:textId="77777777" w:rsidR="00627C05" w:rsidRDefault="00000000">
      <w:pPr>
        <w:rPr>
          <w:sz w:val="18"/>
          <w:szCs w:val="18"/>
        </w:rPr>
      </w:pPr>
      <w:r>
        <w:rPr>
          <w:vertAlign w:val="superscript"/>
        </w:rPr>
        <w:footnoteRef/>
      </w:r>
      <w:r>
        <w:rPr>
          <w:sz w:val="18"/>
          <w:szCs w:val="18"/>
        </w:rPr>
        <w:t xml:space="preserve"> </w:t>
      </w:r>
      <w:r>
        <w:rPr>
          <w:rFonts w:ascii="Century Gothic" w:eastAsia="Century Gothic" w:hAnsi="Century Gothic" w:cs="Century Gothic"/>
          <w:sz w:val="14"/>
          <w:szCs w:val="14"/>
        </w:rPr>
        <w:t>Fecha modificada y aprobada en la Sesión Extraordinaria 1 del CPC del día 6 de junio de 2023</w:t>
      </w:r>
    </w:p>
  </w:footnote>
  <w:footnote w:id="10">
    <w:p w14:paraId="4D15B85A" w14:textId="77777777" w:rsidR="00627C05" w:rsidRDefault="00000000">
      <w:pPr>
        <w:rPr>
          <w:sz w:val="18"/>
          <w:szCs w:val="18"/>
        </w:rPr>
      </w:pPr>
      <w:r>
        <w:rPr>
          <w:vertAlign w:val="superscript"/>
        </w:rPr>
        <w:footnoteRef/>
      </w:r>
      <w:r>
        <w:rPr>
          <w:sz w:val="20"/>
          <w:szCs w:val="20"/>
        </w:rPr>
        <w:t xml:space="preserve"> </w:t>
      </w:r>
      <w:r>
        <w:rPr>
          <w:rFonts w:ascii="Century Gothic" w:eastAsia="Century Gothic" w:hAnsi="Century Gothic" w:cs="Century Gothic"/>
          <w:sz w:val="14"/>
          <w:szCs w:val="14"/>
        </w:rPr>
        <w:t>Fechas modificadas y aprobadas en la Sesión Ordinaria 5 del CPC del día 31 de mayo de 2023</w:t>
      </w:r>
    </w:p>
  </w:footnote>
  <w:footnote w:id="11">
    <w:p w14:paraId="554E302F" w14:textId="77777777" w:rsidR="00627C05" w:rsidRDefault="00000000">
      <w:pPr>
        <w:rPr>
          <w:sz w:val="18"/>
          <w:szCs w:val="18"/>
        </w:rPr>
      </w:pPr>
      <w:r>
        <w:rPr>
          <w:vertAlign w:val="superscript"/>
        </w:rPr>
        <w:footnoteRef/>
      </w:r>
      <w:r>
        <w:rPr>
          <w:sz w:val="20"/>
          <w:szCs w:val="20"/>
        </w:rPr>
        <w:t xml:space="preserve"> </w:t>
      </w:r>
      <w:r>
        <w:rPr>
          <w:rFonts w:ascii="Century Gothic" w:eastAsia="Century Gothic" w:hAnsi="Century Gothic" w:cs="Century Gothic"/>
          <w:sz w:val="14"/>
          <w:szCs w:val="14"/>
        </w:rPr>
        <w:t>Fechas modificadas y aprobadas en la Sesión Extraordinaria 1 del CPC del día 6 de junio de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6B60A6" w14:textId="77777777" w:rsidR="00627C05" w:rsidRDefault="00000000">
    <w:pPr>
      <w:pBdr>
        <w:top w:val="nil"/>
        <w:left w:val="nil"/>
        <w:bottom w:val="nil"/>
        <w:right w:val="nil"/>
        <w:between w:val="nil"/>
      </w:pBdr>
      <w:spacing w:line="14" w:lineRule="auto"/>
      <w:jc w:val="center"/>
      <w:rPr>
        <w:color w:val="000000"/>
        <w:sz w:val="20"/>
        <w:szCs w:val="20"/>
      </w:rPr>
    </w:pPr>
    <w:r>
      <w:rPr>
        <w:noProof/>
        <w:sz w:val="20"/>
        <w:szCs w:val="20"/>
      </w:rPr>
      <w:drawing>
        <wp:inline distT="114300" distB="114300" distL="114300" distR="114300" wp14:anchorId="1E6D1087" wp14:editId="591FCBB4">
          <wp:extent cx="1620838" cy="1556962"/>
          <wp:effectExtent l="0" t="0" r="0" b="0"/>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620838" cy="1556962"/>
                  </a:xfrm>
                  <a:prstGeom prst="rect">
                    <a:avLst/>
                  </a:prstGeom>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A3E61C" w14:textId="77777777" w:rsidR="00627C05" w:rsidRDefault="00000000">
    <w:pPr>
      <w:jc w:val="center"/>
    </w:pPr>
    <w:r>
      <w:rPr>
        <w:noProof/>
      </w:rPr>
      <w:drawing>
        <wp:inline distT="114300" distB="114300" distL="114300" distR="114300" wp14:anchorId="33D6AF3A" wp14:editId="4E0D210E">
          <wp:extent cx="1810703" cy="1741327"/>
          <wp:effectExtent l="0" t="0" r="0" b="0"/>
          <wp:docPr id="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810703" cy="1741327"/>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C6792"/>
    <w:multiLevelType w:val="multilevel"/>
    <w:tmpl w:val="28049B54"/>
    <w:lvl w:ilvl="0">
      <w:start w:val="1"/>
      <w:numFmt w:val="bullet"/>
      <w:lvlText w:val="●"/>
      <w:lvlJc w:val="left"/>
      <w:pPr>
        <w:ind w:left="766" w:hanging="360"/>
      </w:pPr>
      <w:rPr>
        <w:rFonts w:ascii="Noto Sans Symbols" w:eastAsia="Noto Sans Symbols" w:hAnsi="Noto Sans Symbols" w:cs="Noto Sans Symbols"/>
      </w:rPr>
    </w:lvl>
    <w:lvl w:ilvl="1">
      <w:start w:val="1"/>
      <w:numFmt w:val="bullet"/>
      <w:lvlText w:val="o"/>
      <w:lvlJc w:val="left"/>
      <w:pPr>
        <w:ind w:left="1486" w:hanging="360"/>
      </w:pPr>
      <w:rPr>
        <w:rFonts w:ascii="Courier New" w:eastAsia="Courier New" w:hAnsi="Courier New" w:cs="Courier New"/>
      </w:rPr>
    </w:lvl>
    <w:lvl w:ilvl="2">
      <w:start w:val="1"/>
      <w:numFmt w:val="bullet"/>
      <w:lvlText w:val="▪"/>
      <w:lvlJc w:val="left"/>
      <w:pPr>
        <w:ind w:left="2206" w:hanging="360"/>
      </w:pPr>
      <w:rPr>
        <w:rFonts w:ascii="Noto Sans Symbols" w:eastAsia="Noto Sans Symbols" w:hAnsi="Noto Sans Symbols" w:cs="Noto Sans Symbols"/>
      </w:rPr>
    </w:lvl>
    <w:lvl w:ilvl="3">
      <w:start w:val="1"/>
      <w:numFmt w:val="bullet"/>
      <w:lvlText w:val="●"/>
      <w:lvlJc w:val="left"/>
      <w:pPr>
        <w:ind w:left="2926" w:hanging="360"/>
      </w:pPr>
      <w:rPr>
        <w:rFonts w:ascii="Noto Sans Symbols" w:eastAsia="Noto Sans Symbols" w:hAnsi="Noto Sans Symbols" w:cs="Noto Sans Symbols"/>
      </w:rPr>
    </w:lvl>
    <w:lvl w:ilvl="4">
      <w:start w:val="1"/>
      <w:numFmt w:val="bullet"/>
      <w:lvlText w:val="o"/>
      <w:lvlJc w:val="left"/>
      <w:pPr>
        <w:ind w:left="3646" w:hanging="360"/>
      </w:pPr>
      <w:rPr>
        <w:rFonts w:ascii="Courier New" w:eastAsia="Courier New" w:hAnsi="Courier New" w:cs="Courier New"/>
      </w:rPr>
    </w:lvl>
    <w:lvl w:ilvl="5">
      <w:start w:val="1"/>
      <w:numFmt w:val="bullet"/>
      <w:lvlText w:val="▪"/>
      <w:lvlJc w:val="left"/>
      <w:pPr>
        <w:ind w:left="4366" w:hanging="360"/>
      </w:pPr>
      <w:rPr>
        <w:rFonts w:ascii="Noto Sans Symbols" w:eastAsia="Noto Sans Symbols" w:hAnsi="Noto Sans Symbols" w:cs="Noto Sans Symbols"/>
      </w:rPr>
    </w:lvl>
    <w:lvl w:ilvl="6">
      <w:start w:val="1"/>
      <w:numFmt w:val="bullet"/>
      <w:lvlText w:val="●"/>
      <w:lvlJc w:val="left"/>
      <w:pPr>
        <w:ind w:left="5086" w:hanging="360"/>
      </w:pPr>
      <w:rPr>
        <w:rFonts w:ascii="Noto Sans Symbols" w:eastAsia="Noto Sans Symbols" w:hAnsi="Noto Sans Symbols" w:cs="Noto Sans Symbols"/>
      </w:rPr>
    </w:lvl>
    <w:lvl w:ilvl="7">
      <w:start w:val="1"/>
      <w:numFmt w:val="bullet"/>
      <w:lvlText w:val="o"/>
      <w:lvlJc w:val="left"/>
      <w:pPr>
        <w:ind w:left="5806" w:hanging="360"/>
      </w:pPr>
      <w:rPr>
        <w:rFonts w:ascii="Courier New" w:eastAsia="Courier New" w:hAnsi="Courier New" w:cs="Courier New"/>
      </w:rPr>
    </w:lvl>
    <w:lvl w:ilvl="8">
      <w:start w:val="1"/>
      <w:numFmt w:val="bullet"/>
      <w:lvlText w:val="▪"/>
      <w:lvlJc w:val="left"/>
      <w:pPr>
        <w:ind w:left="6526" w:hanging="360"/>
      </w:pPr>
      <w:rPr>
        <w:rFonts w:ascii="Noto Sans Symbols" w:eastAsia="Noto Sans Symbols" w:hAnsi="Noto Sans Symbols" w:cs="Noto Sans Symbols"/>
      </w:rPr>
    </w:lvl>
  </w:abstractNum>
  <w:abstractNum w:abstractNumId="1" w15:restartNumberingAfterBreak="0">
    <w:nsid w:val="147C7EE8"/>
    <w:multiLevelType w:val="multilevel"/>
    <w:tmpl w:val="D5A6F688"/>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D7E156E"/>
    <w:multiLevelType w:val="multilevel"/>
    <w:tmpl w:val="89C255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9444B0C"/>
    <w:multiLevelType w:val="multilevel"/>
    <w:tmpl w:val="B29479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40733197"/>
    <w:multiLevelType w:val="multilevel"/>
    <w:tmpl w:val="496C45D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750D44B6"/>
    <w:multiLevelType w:val="multilevel"/>
    <w:tmpl w:val="6D2833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508903919">
    <w:abstractNumId w:val="0"/>
  </w:num>
  <w:num w:numId="2" w16cid:durableId="875199826">
    <w:abstractNumId w:val="3"/>
  </w:num>
  <w:num w:numId="3" w16cid:durableId="490831566">
    <w:abstractNumId w:val="1"/>
  </w:num>
  <w:num w:numId="4" w16cid:durableId="306906985">
    <w:abstractNumId w:val="2"/>
  </w:num>
  <w:num w:numId="5" w16cid:durableId="876504102">
    <w:abstractNumId w:val="5"/>
  </w:num>
  <w:num w:numId="6" w16cid:durableId="6660527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7C05"/>
    <w:rsid w:val="00627C05"/>
    <w:rsid w:val="006370E1"/>
    <w:rsid w:val="00F825D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4:docId w14:val="248910BD"/>
  <w15:docId w15:val="{BA275953-7C96-E344-BD16-020A820D3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MT" w:eastAsia="Arial MT" w:hAnsi="Arial MT" w:cs="Arial MT"/>
        <w:sz w:val="22"/>
        <w:szCs w:val="22"/>
        <w:lang w:val="es-ES" w:eastAsia="es-MX"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uiPriority w:val="9"/>
    <w:qFormat/>
    <w:pPr>
      <w:ind w:left="100"/>
      <w:jc w:val="both"/>
      <w:outlineLvl w:val="0"/>
    </w:pPr>
    <w:rPr>
      <w:rFonts w:ascii="Arial" w:eastAsia="Arial" w:hAnsi="Arial" w:cs="Arial"/>
      <w:b/>
      <w:bCs/>
      <w:sz w:val="24"/>
      <w:szCs w:val="24"/>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Prrafodelista">
    <w:name w:val="List Paragraph"/>
    <w:basedOn w:val="Normal"/>
    <w:uiPriority w:val="34"/>
    <w:qFormat/>
    <w:pPr>
      <w:ind w:left="100"/>
      <w:jc w:val="both"/>
    </w:pPr>
  </w:style>
  <w:style w:type="paragraph" w:customStyle="1" w:styleId="TableParagraph">
    <w:name w:val="Table Paragraph"/>
    <w:basedOn w:val="Normal"/>
    <w:uiPriority w:val="1"/>
    <w:qFormat/>
  </w:style>
  <w:style w:type="paragraph" w:styleId="Textodeglobo">
    <w:name w:val="Balloon Text"/>
    <w:basedOn w:val="Normal"/>
    <w:link w:val="TextodegloboCar"/>
    <w:uiPriority w:val="99"/>
    <w:semiHidden/>
    <w:unhideWhenUsed/>
    <w:rsid w:val="00BB4E7B"/>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B4E7B"/>
    <w:rPr>
      <w:rFonts w:ascii="Segoe UI" w:eastAsia="Arial MT" w:hAnsi="Segoe UI" w:cs="Segoe UI"/>
      <w:sz w:val="18"/>
      <w:szCs w:val="18"/>
      <w:lang w:val="es-ES"/>
    </w:rPr>
  </w:style>
  <w:style w:type="paragraph" w:styleId="Encabezado">
    <w:name w:val="header"/>
    <w:basedOn w:val="Normal"/>
    <w:link w:val="EncabezadoCar"/>
    <w:uiPriority w:val="99"/>
    <w:unhideWhenUsed/>
    <w:rsid w:val="00BB4E7B"/>
    <w:pPr>
      <w:tabs>
        <w:tab w:val="center" w:pos="4419"/>
        <w:tab w:val="right" w:pos="8838"/>
      </w:tabs>
    </w:pPr>
  </w:style>
  <w:style w:type="character" w:customStyle="1" w:styleId="EncabezadoCar">
    <w:name w:val="Encabezado Car"/>
    <w:basedOn w:val="Fuentedeprrafopredeter"/>
    <w:link w:val="Encabezado"/>
    <w:uiPriority w:val="99"/>
    <w:rsid w:val="00BB4E7B"/>
    <w:rPr>
      <w:rFonts w:ascii="Arial MT" w:eastAsia="Arial MT" w:hAnsi="Arial MT" w:cs="Arial MT"/>
      <w:lang w:val="es-ES"/>
    </w:rPr>
  </w:style>
  <w:style w:type="paragraph" w:styleId="Piedepgina">
    <w:name w:val="footer"/>
    <w:basedOn w:val="Normal"/>
    <w:link w:val="PiedepginaCar"/>
    <w:uiPriority w:val="99"/>
    <w:unhideWhenUsed/>
    <w:rsid w:val="00BB4E7B"/>
    <w:pPr>
      <w:tabs>
        <w:tab w:val="center" w:pos="4419"/>
        <w:tab w:val="right" w:pos="8838"/>
      </w:tabs>
    </w:pPr>
  </w:style>
  <w:style w:type="character" w:customStyle="1" w:styleId="PiedepginaCar">
    <w:name w:val="Pie de página Car"/>
    <w:basedOn w:val="Fuentedeprrafopredeter"/>
    <w:link w:val="Piedepgina"/>
    <w:uiPriority w:val="99"/>
    <w:rsid w:val="00BB4E7B"/>
    <w:rPr>
      <w:rFonts w:ascii="Arial MT" w:eastAsia="Arial MT" w:hAnsi="Arial MT" w:cs="Arial MT"/>
      <w:lang w:val="es-ES"/>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Revisin">
    <w:name w:val="Revision"/>
    <w:hidden/>
    <w:uiPriority w:val="99"/>
    <w:semiHidden/>
    <w:rsid w:val="00D87193"/>
    <w:pPr>
      <w:widowControl/>
    </w:pPr>
  </w:style>
  <w:style w:type="paragraph" w:styleId="NormalWeb">
    <w:name w:val="Normal (Web)"/>
    <w:basedOn w:val="Normal"/>
    <w:uiPriority w:val="99"/>
    <w:unhideWhenUsed/>
    <w:rsid w:val="008A7C98"/>
    <w:pPr>
      <w:widowControl/>
      <w:spacing w:before="100" w:beforeAutospacing="1" w:after="100" w:afterAutospacing="1"/>
    </w:pPr>
    <w:rPr>
      <w:rFonts w:ascii="Times New Roman" w:eastAsia="Times New Roman" w:hAnsi="Times New Roman" w:cs="Times New Roman"/>
      <w:sz w:val="24"/>
      <w:szCs w:val="24"/>
      <w:lang w:val="es-MX"/>
    </w:rPr>
  </w:style>
  <w:style w:type="character" w:styleId="Refdecomentario">
    <w:name w:val="annotation reference"/>
    <w:basedOn w:val="Fuentedeprrafopredeter"/>
    <w:uiPriority w:val="99"/>
    <w:semiHidden/>
    <w:unhideWhenUsed/>
    <w:rsid w:val="00C81C79"/>
    <w:rPr>
      <w:sz w:val="16"/>
      <w:szCs w:val="16"/>
    </w:rPr>
  </w:style>
  <w:style w:type="paragraph" w:styleId="Textocomentario">
    <w:name w:val="annotation text"/>
    <w:basedOn w:val="Normal"/>
    <w:link w:val="TextocomentarioCar"/>
    <w:uiPriority w:val="99"/>
    <w:semiHidden/>
    <w:unhideWhenUsed/>
    <w:rsid w:val="00C81C79"/>
    <w:rPr>
      <w:sz w:val="20"/>
      <w:szCs w:val="20"/>
    </w:rPr>
  </w:style>
  <w:style w:type="character" w:customStyle="1" w:styleId="TextocomentarioCar">
    <w:name w:val="Texto comentario Car"/>
    <w:basedOn w:val="Fuentedeprrafopredeter"/>
    <w:link w:val="Textocomentario"/>
    <w:uiPriority w:val="99"/>
    <w:semiHidden/>
    <w:rsid w:val="00C81C79"/>
    <w:rPr>
      <w:sz w:val="20"/>
      <w:szCs w:val="20"/>
    </w:rPr>
  </w:style>
  <w:style w:type="paragraph" w:styleId="Asuntodelcomentario">
    <w:name w:val="annotation subject"/>
    <w:basedOn w:val="Textocomentario"/>
    <w:next w:val="Textocomentario"/>
    <w:link w:val="AsuntodelcomentarioCar"/>
    <w:uiPriority w:val="99"/>
    <w:semiHidden/>
    <w:unhideWhenUsed/>
    <w:rsid w:val="00C81C79"/>
    <w:rPr>
      <w:b/>
      <w:bCs/>
    </w:rPr>
  </w:style>
  <w:style w:type="character" w:customStyle="1" w:styleId="AsuntodelcomentarioCar">
    <w:name w:val="Asunto del comentario Car"/>
    <w:basedOn w:val="TextocomentarioCar"/>
    <w:link w:val="Asuntodelcomentario"/>
    <w:uiPriority w:val="99"/>
    <w:semiHidden/>
    <w:rsid w:val="00C81C79"/>
    <w:rPr>
      <w:b/>
      <w:bCs/>
      <w:sz w:val="20"/>
      <w:szCs w:val="20"/>
    </w:rPr>
  </w:style>
  <w:style w:type="character" w:styleId="Hipervnculo">
    <w:name w:val="Hyperlink"/>
    <w:basedOn w:val="Fuentedeprrafopredeter"/>
    <w:uiPriority w:val="99"/>
    <w:unhideWhenUsed/>
    <w:rsid w:val="0065497C"/>
    <w:rPr>
      <w:color w:val="0000FF" w:themeColor="hyperlink"/>
      <w:u w:val="single"/>
    </w:rPr>
  </w:style>
  <w:style w:type="character" w:styleId="Mencinsinresolver">
    <w:name w:val="Unresolved Mention"/>
    <w:basedOn w:val="Fuentedeprrafopredeter"/>
    <w:uiPriority w:val="99"/>
    <w:semiHidden/>
    <w:unhideWhenUsed/>
    <w:rsid w:val="0065497C"/>
    <w:rPr>
      <w:color w:val="605E5C"/>
      <w:shd w:val="clear" w:color="auto" w:fill="E1DFDD"/>
    </w:rPr>
  </w:style>
  <w:style w:type="character" w:styleId="Nmerodepgina">
    <w:name w:val="page number"/>
    <w:basedOn w:val="Fuentedeprrafopredeter"/>
    <w:uiPriority w:val="99"/>
    <w:semiHidden/>
    <w:unhideWhenUsed/>
    <w:rsid w:val="00B722CC"/>
  </w:style>
  <w:style w:type="table" w:styleId="Tablaconcuadrcula">
    <w:name w:val="Table Grid"/>
    <w:basedOn w:val="Tablanormal"/>
    <w:uiPriority w:val="39"/>
    <w:rsid w:val="008C67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
    <w:basedOn w:val="TableNormal1"/>
    <w:tblPr>
      <w:tblStyleRowBandSize w:val="1"/>
      <w:tblStyleColBandSize w:val="1"/>
      <w:tblCellMar>
        <w:left w:w="108" w:type="dxa"/>
        <w:right w:w="108" w:type="dxa"/>
      </w:tblCellMar>
    </w:tblPr>
  </w:style>
  <w:style w:type="table" w:customStyle="1" w:styleId="a0">
    <w:basedOn w:val="TableNormal0"/>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cpc.qroo@gmail.com"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pcqroo.org/" TargetMode="External"/><Relationship Id="rId14" Type="http://schemas.openxmlformats.org/officeDocument/2006/relationships/footer" Target="footer3.xml"/></Relationships>
</file>

<file path=word/_rels/footnotes.xml.rels><?xml version="1.0" encoding="UTF-8" standalone="yes"?>
<Relationships xmlns="http://schemas.openxmlformats.org/package/2006/relationships"><Relationship Id="rId2" Type="http://schemas.openxmlformats.org/officeDocument/2006/relationships/hyperlink" Target="https://www.ine.mx/wp-content/uploads/2021/04/UTVOPL-2021-3-de-3.pdf" TargetMode="External"/><Relationship Id="rId1" Type="http://schemas.openxmlformats.org/officeDocument/2006/relationships/hyperlink" Target="https://www.ine.mx/wp-content/uploads/2021/04/UTVOPL-2021-3-de-3.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iBkoU++MXq2U+N/c8jX6RsAltIw==">CgMxLjAyDmgubXY5MzJudnkzYjU2OAByITFqVm9PMzNuXzlkWWpEZDQ2WjlOYk1GRUN4V2UxZU4xaQ==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10</Pages>
  <Words>3539</Words>
  <Characters>19468</Characters>
  <Application>Microsoft Office Word</Application>
  <DocSecurity>0</DocSecurity>
  <Lines>162</Lines>
  <Paragraphs>45</Paragraphs>
  <ScaleCrop>false</ScaleCrop>
  <Company/>
  <LinksUpToDate>false</LinksUpToDate>
  <CharactersWithSpaces>22962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fralv</dc:creator>
  <cp:lastModifiedBy>Mariana Bello</cp:lastModifiedBy>
  <cp:revision>2</cp:revision>
  <dcterms:created xsi:type="dcterms:W3CDTF">2023-06-06T18:15:00Z</dcterms:created>
  <dcterms:modified xsi:type="dcterms:W3CDTF">2023-06-06T18:15:00Z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2022-04-25T00:00:00Z</vt:filetime>
  </property>
  <property fmtid="{D5CDD505-2E9C-101B-9397-08002B2CF9AE}" pid="3" name="Creator">
    <vt:lpwstr>Microsoft® Word para Microsoft 365</vt:lpwstr>
  </property>
  <property fmtid="{D5CDD505-2E9C-101B-9397-08002B2CF9AE}" pid="4" name="LastSaved">
    <vt:filetime>2023-02-13T00:00:00Z</vt:filetime>
  </property>
</Properties>
</file>